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860EC" w14:textId="3459D788" w:rsidR="00982915" w:rsidRDefault="00EB6F73">
      <w:pPr>
        <w:spacing w:after="0" w:line="240" w:lineRule="auto"/>
        <w:jc w:val="right"/>
        <w:rPr>
          <w:rFonts w:ascii="Arial" w:hAnsi="Arial" w:cs="Arial"/>
          <w:sz w:val="20"/>
          <w:szCs w:val="20"/>
        </w:rPr>
      </w:pPr>
      <w:r>
        <w:rPr>
          <w:rFonts w:ascii="Arial" w:hAnsi="Arial" w:cs="Arial"/>
          <w:sz w:val="20"/>
          <w:szCs w:val="20"/>
        </w:rPr>
        <w:t xml:space="preserve">November </w:t>
      </w:r>
      <w:r w:rsidR="00491326">
        <w:rPr>
          <w:rFonts w:ascii="Arial" w:hAnsi="Arial" w:cs="Arial"/>
          <w:sz w:val="20"/>
          <w:szCs w:val="20"/>
        </w:rPr>
        <w:t>DD</w:t>
      </w:r>
      <w:r>
        <w:rPr>
          <w:rFonts w:ascii="Arial" w:hAnsi="Arial" w:cs="Arial"/>
          <w:sz w:val="20"/>
          <w:szCs w:val="20"/>
        </w:rPr>
        <w:t>, 2015</w:t>
      </w:r>
    </w:p>
    <w:p w14:paraId="51DB1972" w14:textId="77777777" w:rsidR="00982915" w:rsidRDefault="00EB6F73">
      <w:pPr>
        <w:spacing w:after="0" w:line="240" w:lineRule="auto"/>
        <w:jc w:val="center"/>
        <w:rPr>
          <w:rFonts w:ascii="Arial" w:hAnsi="Arial" w:cs="Arial"/>
          <w:b/>
          <w:bCs/>
          <w:sz w:val="28"/>
          <w:szCs w:val="24"/>
        </w:rPr>
      </w:pPr>
      <w:r>
        <w:rPr>
          <w:rFonts w:ascii="Arial" w:hAnsi="Arial" w:cs="Arial"/>
          <w:b/>
          <w:bCs/>
          <w:sz w:val="28"/>
          <w:szCs w:val="24"/>
        </w:rPr>
        <w:t>Consolidated Financial Results Announcement</w:t>
      </w:r>
    </w:p>
    <w:p w14:paraId="5D6C10D7" w14:textId="77777777" w:rsidR="00982915" w:rsidRDefault="00EB6F73">
      <w:pPr>
        <w:spacing w:after="0" w:line="240" w:lineRule="auto"/>
        <w:jc w:val="center"/>
        <w:rPr>
          <w:rFonts w:ascii="Arial" w:hAnsi="Arial" w:cs="Arial"/>
          <w:b/>
          <w:bCs/>
          <w:sz w:val="28"/>
          <w:szCs w:val="24"/>
        </w:rPr>
      </w:pPr>
      <w:r>
        <w:rPr>
          <w:rFonts w:ascii="Arial" w:hAnsi="Arial" w:cs="Arial"/>
          <w:b/>
          <w:bCs/>
          <w:sz w:val="28"/>
          <w:szCs w:val="24"/>
        </w:rPr>
        <w:t>for the Nine Months Ended September 30, 2015</w:t>
      </w:r>
    </w:p>
    <w:p w14:paraId="15CEED90" w14:textId="77777777" w:rsidR="00982915" w:rsidRDefault="00982915">
      <w:pPr>
        <w:spacing w:after="0" w:line="240" w:lineRule="auto"/>
        <w:jc w:val="center"/>
        <w:rPr>
          <w:rFonts w:ascii="Arial" w:hAnsi="Arial" w:cs="Arial"/>
          <w:b/>
          <w:bCs/>
          <w:sz w:val="24"/>
          <w:szCs w:val="24"/>
        </w:rPr>
      </w:pPr>
    </w:p>
    <w:p w14:paraId="3E7C5E8A" w14:textId="64F60254" w:rsidR="00982915" w:rsidRDefault="00EB6F73">
      <w:pPr>
        <w:spacing w:after="0" w:line="240" w:lineRule="auto"/>
        <w:jc w:val="both"/>
        <w:rPr>
          <w:rFonts w:ascii="Arial" w:hAnsi="Arial" w:cs="Arial"/>
          <w:sz w:val="20"/>
          <w:szCs w:val="20"/>
        </w:rPr>
      </w:pPr>
      <w:r>
        <w:rPr>
          <w:rFonts w:ascii="Arial" w:hAnsi="Arial" w:cs="Arial"/>
          <w:sz w:val="20"/>
          <w:szCs w:val="20"/>
        </w:rPr>
        <w:t>Company name:</w:t>
      </w:r>
      <w:r>
        <w:rPr>
          <w:rFonts w:ascii="Arial" w:hAnsi="Arial" w:cs="Arial"/>
          <w:sz w:val="20"/>
          <w:szCs w:val="20"/>
        </w:rPr>
        <w:tab/>
      </w:r>
      <w:r>
        <w:rPr>
          <w:rFonts w:ascii="Arial" w:hAnsi="Arial" w:cs="Arial"/>
          <w:sz w:val="20"/>
          <w:szCs w:val="20"/>
        </w:rPr>
        <w:tab/>
      </w:r>
      <w:r w:rsidR="00491326">
        <w:rPr>
          <w:rFonts w:ascii="Arial" w:hAnsi="Arial" w:cs="Arial"/>
          <w:sz w:val="20"/>
          <w:szCs w:val="20"/>
        </w:rPr>
        <w:t xml:space="preserve">XYZ </w:t>
      </w:r>
      <w:r>
        <w:rPr>
          <w:rFonts w:ascii="Arial" w:hAnsi="Arial" w:cs="Arial"/>
          <w:sz w:val="20"/>
          <w:szCs w:val="20"/>
        </w:rPr>
        <w:t>Holdings, Inc.</w:t>
      </w:r>
    </w:p>
    <w:p w14:paraId="4443BAEF" w14:textId="77777777" w:rsidR="00982915" w:rsidRDefault="00EB6F73">
      <w:pPr>
        <w:spacing w:after="0" w:line="240" w:lineRule="auto"/>
        <w:jc w:val="both"/>
        <w:rPr>
          <w:rFonts w:ascii="Arial" w:hAnsi="Arial" w:cs="Arial"/>
          <w:sz w:val="20"/>
          <w:szCs w:val="20"/>
        </w:rPr>
      </w:pPr>
      <w:r>
        <w:rPr>
          <w:rFonts w:ascii="Arial" w:hAnsi="Arial" w:cs="Arial"/>
          <w:sz w:val="20"/>
          <w:szCs w:val="20"/>
        </w:rPr>
        <w:t>Stock exchange listing:</w:t>
      </w:r>
      <w:r>
        <w:rPr>
          <w:rFonts w:ascii="Arial" w:hAnsi="Arial" w:cs="Arial"/>
          <w:sz w:val="20"/>
          <w:szCs w:val="20"/>
        </w:rPr>
        <w:tab/>
      </w:r>
      <w:r>
        <w:rPr>
          <w:rFonts w:ascii="Arial" w:hAnsi="Arial" w:cs="Arial"/>
          <w:sz w:val="20"/>
          <w:szCs w:val="20"/>
        </w:rPr>
        <w:tab/>
        <w:t>Tokyo Stock Exchange (TSE)</w:t>
      </w:r>
    </w:p>
    <w:p w14:paraId="756744C1" w14:textId="7FD61868" w:rsidR="00982915" w:rsidRDefault="00EB6F73">
      <w:pPr>
        <w:spacing w:after="0" w:line="240" w:lineRule="auto"/>
        <w:jc w:val="both"/>
        <w:rPr>
          <w:rFonts w:ascii="Arial" w:hAnsi="Arial" w:cs="Arial"/>
          <w:sz w:val="20"/>
          <w:szCs w:val="20"/>
        </w:rPr>
      </w:pPr>
      <w:r>
        <w:rPr>
          <w:rFonts w:ascii="Arial" w:hAnsi="Arial" w:cs="Arial"/>
          <w:sz w:val="20"/>
          <w:szCs w:val="20"/>
        </w:rPr>
        <w:t>Stock code:</w:t>
      </w:r>
      <w:r>
        <w:rPr>
          <w:rFonts w:ascii="Arial" w:hAnsi="Arial" w:cs="Arial"/>
          <w:sz w:val="20"/>
          <w:szCs w:val="20"/>
        </w:rPr>
        <w:tab/>
      </w:r>
      <w:r>
        <w:rPr>
          <w:rFonts w:ascii="Arial" w:hAnsi="Arial" w:cs="Arial"/>
          <w:sz w:val="20"/>
          <w:szCs w:val="20"/>
        </w:rPr>
        <w:tab/>
      </w:r>
      <w:r>
        <w:rPr>
          <w:rFonts w:ascii="Arial" w:hAnsi="Arial" w:cs="Arial"/>
          <w:sz w:val="20"/>
          <w:szCs w:val="20"/>
        </w:rPr>
        <w:tab/>
      </w:r>
      <w:r w:rsidR="00491326">
        <w:rPr>
          <w:rFonts w:ascii="Arial" w:hAnsi="Arial" w:cs="Arial"/>
          <w:sz w:val="20"/>
          <w:szCs w:val="20"/>
        </w:rPr>
        <w:t>1234</w:t>
      </w:r>
    </w:p>
    <w:p w14:paraId="15C58977" w14:textId="2575B419" w:rsidR="00982915" w:rsidRDefault="00EB6F73">
      <w:pPr>
        <w:spacing w:after="0" w:line="240" w:lineRule="auto"/>
        <w:jc w:val="both"/>
        <w:rPr>
          <w:rFonts w:ascii="Arial" w:hAnsi="Arial" w:cs="Arial"/>
          <w:sz w:val="20"/>
          <w:szCs w:val="20"/>
        </w:rPr>
      </w:pPr>
      <w:r>
        <w:rPr>
          <w:rFonts w:ascii="Arial" w:hAnsi="Arial" w:cs="Arial"/>
          <w:sz w:val="20"/>
          <w:szCs w:val="20"/>
        </w:rPr>
        <w:t>URL: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http://www.</w:t>
      </w:r>
      <w:r w:rsidR="00491326">
        <w:rPr>
          <w:rFonts w:ascii="Arial" w:hAnsi="Arial" w:cs="Arial"/>
          <w:sz w:val="20"/>
          <w:szCs w:val="20"/>
        </w:rPr>
        <w:t>xyz-</w:t>
      </w:r>
      <w:r>
        <w:rPr>
          <w:rFonts w:ascii="Arial" w:hAnsi="Arial" w:cs="Arial"/>
          <w:sz w:val="20"/>
          <w:szCs w:val="20"/>
        </w:rPr>
        <w:t>group.co.jp/</w:t>
      </w:r>
    </w:p>
    <w:p w14:paraId="56375CB1" w14:textId="3F97EC73" w:rsidR="00982915" w:rsidRDefault="00EB6F73">
      <w:pPr>
        <w:spacing w:after="0" w:line="240" w:lineRule="auto"/>
        <w:jc w:val="both"/>
        <w:rPr>
          <w:rFonts w:ascii="Arial" w:hAnsi="Arial" w:cs="Arial"/>
          <w:sz w:val="20"/>
          <w:szCs w:val="20"/>
        </w:rPr>
      </w:pPr>
      <w:r>
        <w:rPr>
          <w:rFonts w:ascii="Arial" w:hAnsi="Arial" w:cs="Arial"/>
          <w:sz w:val="20"/>
          <w:szCs w:val="20"/>
        </w:rPr>
        <w:t xml:space="preserve">Representative: </w:t>
      </w:r>
      <w:r>
        <w:rPr>
          <w:rFonts w:ascii="Arial" w:hAnsi="Arial" w:cs="Arial"/>
          <w:sz w:val="20"/>
          <w:szCs w:val="20"/>
        </w:rPr>
        <w:tab/>
      </w:r>
      <w:r>
        <w:rPr>
          <w:rFonts w:ascii="Arial" w:hAnsi="Arial" w:cs="Arial"/>
          <w:sz w:val="20"/>
          <w:szCs w:val="20"/>
        </w:rPr>
        <w:tab/>
      </w:r>
      <w:r w:rsidR="00491326">
        <w:rPr>
          <w:rFonts w:ascii="Arial" w:hAnsi="Arial" w:cs="Arial"/>
          <w:sz w:val="20"/>
          <w:szCs w:val="20"/>
        </w:rPr>
        <w:t>Name Surname</w:t>
      </w:r>
      <w:r>
        <w:rPr>
          <w:rFonts w:ascii="Arial" w:hAnsi="Arial" w:cs="Arial"/>
          <w:sz w:val="20"/>
          <w:szCs w:val="20"/>
        </w:rPr>
        <w:t>, Representative Director and President</w:t>
      </w:r>
    </w:p>
    <w:p w14:paraId="24EBD090" w14:textId="7DD5EA40" w:rsidR="00982915" w:rsidRDefault="00EB6F73">
      <w:pPr>
        <w:spacing w:after="0" w:line="240" w:lineRule="auto"/>
        <w:jc w:val="both"/>
        <w:rPr>
          <w:rFonts w:ascii="Arial" w:hAnsi="Arial" w:cs="Arial"/>
          <w:sz w:val="20"/>
          <w:szCs w:val="20"/>
        </w:rPr>
      </w:pPr>
      <w:r>
        <w:rPr>
          <w:rFonts w:ascii="Arial" w:hAnsi="Arial" w:cs="Arial"/>
          <w:sz w:val="20"/>
          <w:szCs w:val="20"/>
        </w:rPr>
        <w:t xml:space="preserve">Contact: </w:t>
      </w:r>
      <w:r>
        <w:rPr>
          <w:rFonts w:ascii="Arial" w:hAnsi="Arial" w:cs="Arial"/>
          <w:sz w:val="20"/>
          <w:szCs w:val="20"/>
        </w:rPr>
        <w:tab/>
      </w:r>
      <w:r>
        <w:rPr>
          <w:rFonts w:ascii="Arial" w:hAnsi="Arial" w:cs="Arial"/>
          <w:sz w:val="20"/>
          <w:szCs w:val="20"/>
        </w:rPr>
        <w:tab/>
      </w:r>
      <w:r>
        <w:rPr>
          <w:rFonts w:ascii="Arial" w:hAnsi="Arial" w:cs="Arial"/>
          <w:sz w:val="20"/>
          <w:szCs w:val="20"/>
        </w:rPr>
        <w:tab/>
      </w:r>
      <w:r w:rsidR="00491326">
        <w:rPr>
          <w:rFonts w:ascii="Arial" w:hAnsi="Arial" w:cs="Arial"/>
          <w:sz w:val="20"/>
          <w:szCs w:val="20"/>
        </w:rPr>
        <w:t>Name Surname</w:t>
      </w:r>
      <w:r>
        <w:rPr>
          <w:rFonts w:ascii="Arial" w:hAnsi="Arial" w:cs="Arial"/>
          <w:sz w:val="20"/>
          <w:szCs w:val="20"/>
        </w:rPr>
        <w:t>, Executive Officer of Financial Division</w:t>
      </w:r>
    </w:p>
    <w:p w14:paraId="05ACEB20" w14:textId="2E8937E2" w:rsidR="00982915" w:rsidRDefault="00EB6F73">
      <w:pPr>
        <w:spacing w:after="0" w:line="240" w:lineRule="auto"/>
        <w:ind w:left="2160" w:firstLine="720"/>
        <w:jc w:val="both"/>
        <w:rPr>
          <w:rFonts w:ascii="Arial" w:hAnsi="Arial" w:cs="Arial"/>
          <w:sz w:val="20"/>
          <w:szCs w:val="20"/>
        </w:rPr>
      </w:pPr>
      <w:r>
        <w:rPr>
          <w:rFonts w:ascii="Arial" w:hAnsi="Arial" w:cs="Arial"/>
          <w:sz w:val="20"/>
          <w:szCs w:val="20"/>
        </w:rPr>
        <w:t>(Tel: +81-3-</w:t>
      </w:r>
      <w:r w:rsidR="00491326">
        <w:rPr>
          <w:rFonts w:ascii="Arial" w:hAnsi="Arial" w:cs="Arial"/>
          <w:sz w:val="20"/>
          <w:szCs w:val="20"/>
        </w:rPr>
        <w:t>123-4567</w:t>
      </w:r>
      <w:r>
        <w:rPr>
          <w:rFonts w:ascii="Arial" w:hAnsi="Arial" w:cs="Arial"/>
          <w:sz w:val="20"/>
          <w:szCs w:val="20"/>
        </w:rPr>
        <w:t>)</w:t>
      </w:r>
    </w:p>
    <w:p w14:paraId="55C4D0B0" w14:textId="6BBEAB9D" w:rsidR="00982915" w:rsidRDefault="00EB6F73">
      <w:pPr>
        <w:spacing w:after="0" w:line="240" w:lineRule="auto"/>
        <w:jc w:val="both"/>
        <w:rPr>
          <w:rFonts w:ascii="Arial" w:hAnsi="Arial" w:cs="Arial"/>
          <w:sz w:val="20"/>
          <w:szCs w:val="20"/>
        </w:rPr>
      </w:pPr>
      <w:r>
        <w:rPr>
          <w:rFonts w:ascii="Arial" w:hAnsi="Arial" w:cs="Arial"/>
          <w:sz w:val="20"/>
          <w:szCs w:val="20"/>
        </w:rPr>
        <w:t>Scheduled date of filing of Quarterly Report: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November </w:t>
      </w:r>
      <w:r w:rsidR="00491326">
        <w:rPr>
          <w:rFonts w:ascii="Arial" w:hAnsi="Arial" w:cs="Arial"/>
          <w:sz w:val="20"/>
          <w:szCs w:val="20"/>
        </w:rPr>
        <w:t>DD</w:t>
      </w:r>
      <w:r>
        <w:rPr>
          <w:rFonts w:ascii="Arial" w:hAnsi="Arial" w:cs="Arial"/>
          <w:sz w:val="20"/>
          <w:szCs w:val="20"/>
        </w:rPr>
        <w:t>, 2015</w:t>
      </w:r>
    </w:p>
    <w:p w14:paraId="7A86D443" w14:textId="77777777" w:rsidR="00982915" w:rsidRDefault="00EB6F73">
      <w:pPr>
        <w:spacing w:after="0" w:line="240" w:lineRule="auto"/>
        <w:jc w:val="both"/>
        <w:rPr>
          <w:rFonts w:ascii="Arial" w:hAnsi="Arial" w:cs="Arial"/>
          <w:sz w:val="20"/>
          <w:szCs w:val="20"/>
        </w:rPr>
      </w:pPr>
      <w:r>
        <w:rPr>
          <w:rFonts w:ascii="Arial" w:hAnsi="Arial" w:cs="Arial"/>
          <w:sz w:val="20"/>
          <w:szCs w:val="20"/>
        </w:rPr>
        <w:t>Preparation of supplementary references regarding quarterly results:</w:t>
      </w:r>
      <w:r>
        <w:rPr>
          <w:rFonts w:ascii="Arial" w:hAnsi="Arial" w:cs="Arial"/>
          <w:sz w:val="20"/>
          <w:szCs w:val="20"/>
        </w:rPr>
        <w:tab/>
        <w:t>No</w:t>
      </w:r>
    </w:p>
    <w:p w14:paraId="218A16DD" w14:textId="77777777" w:rsidR="00982915" w:rsidRDefault="00EB6F73">
      <w:pPr>
        <w:spacing w:after="0" w:line="240" w:lineRule="auto"/>
        <w:jc w:val="both"/>
        <w:rPr>
          <w:rFonts w:ascii="Arial" w:hAnsi="Arial" w:cs="Arial"/>
          <w:sz w:val="20"/>
          <w:szCs w:val="20"/>
        </w:rPr>
      </w:pPr>
      <w:r>
        <w:rPr>
          <w:rFonts w:ascii="Arial" w:hAnsi="Arial" w:cs="Arial"/>
          <w:sz w:val="20"/>
          <w:szCs w:val="20"/>
        </w:rPr>
        <w:t>Holding the briefing of quarterly results: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w:t>
      </w:r>
    </w:p>
    <w:p w14:paraId="499BCDF6" w14:textId="77777777" w:rsidR="00982915" w:rsidRDefault="00EB6F73">
      <w:pPr>
        <w:spacing w:after="0" w:line="240" w:lineRule="auto"/>
        <w:jc w:val="both"/>
        <w:rPr>
          <w:rFonts w:ascii="Arial" w:hAnsi="Arial" w:cs="Arial"/>
          <w:sz w:val="20"/>
          <w:szCs w:val="20"/>
        </w:rPr>
      </w:pPr>
      <w:r>
        <w:rPr>
          <w:rFonts w:ascii="Arial" w:hAnsi="Arial" w:cs="Arial"/>
          <w:sz w:val="20"/>
          <w:szCs w:val="20"/>
        </w:rPr>
        <w:t xml:space="preserve">Date for commencement of dividend payments (planned): </w:t>
      </w:r>
      <w:r>
        <w:rPr>
          <w:rFonts w:ascii="Arial" w:hAnsi="Arial" w:cs="Arial"/>
          <w:sz w:val="20"/>
          <w:szCs w:val="20"/>
        </w:rPr>
        <w:tab/>
      </w:r>
      <w:r>
        <w:rPr>
          <w:rFonts w:ascii="Arial" w:hAnsi="Arial" w:cs="Arial"/>
          <w:sz w:val="20"/>
          <w:szCs w:val="20"/>
        </w:rPr>
        <w:tab/>
        <w:t>—</w:t>
      </w:r>
    </w:p>
    <w:p w14:paraId="7939409D" w14:textId="77777777" w:rsidR="00982915" w:rsidRDefault="00982915">
      <w:pPr>
        <w:spacing w:after="0" w:line="240" w:lineRule="auto"/>
        <w:jc w:val="both"/>
        <w:rPr>
          <w:rFonts w:ascii="Arial" w:hAnsi="Arial" w:cs="Arial"/>
          <w:sz w:val="20"/>
          <w:szCs w:val="20"/>
        </w:rPr>
      </w:pPr>
    </w:p>
    <w:p w14:paraId="2470B69B" w14:textId="77777777" w:rsidR="00982915" w:rsidRDefault="00EB6F73">
      <w:pPr>
        <w:tabs>
          <w:tab w:val="left" w:pos="540"/>
        </w:tabs>
        <w:spacing w:after="0" w:line="240" w:lineRule="auto"/>
        <w:ind w:left="540" w:hanging="540"/>
        <w:jc w:val="both"/>
        <w:rPr>
          <w:rFonts w:ascii="Arial" w:hAnsi="Arial" w:cs="Arial"/>
          <w:b/>
          <w:bCs/>
          <w:sz w:val="21"/>
          <w:szCs w:val="21"/>
        </w:rPr>
      </w:pPr>
      <w:r>
        <w:rPr>
          <w:rFonts w:ascii="Arial" w:hAnsi="Arial" w:cs="Arial"/>
          <w:b/>
          <w:bCs/>
          <w:sz w:val="21"/>
          <w:szCs w:val="21"/>
        </w:rPr>
        <w:t>1. Consolidated Financial Results for the Nine Months Ended September 30, 2015</w:t>
      </w:r>
    </w:p>
    <w:p w14:paraId="131A1D9F" w14:textId="77777777" w:rsidR="00982915" w:rsidRDefault="00EB6F73">
      <w:pPr>
        <w:spacing w:after="0" w:line="240" w:lineRule="auto"/>
        <w:ind w:firstLine="270"/>
        <w:jc w:val="both"/>
        <w:rPr>
          <w:rFonts w:ascii="Arial" w:hAnsi="Arial" w:cs="Arial"/>
          <w:b/>
          <w:sz w:val="21"/>
          <w:szCs w:val="21"/>
        </w:rPr>
      </w:pPr>
      <w:r>
        <w:rPr>
          <w:rFonts w:ascii="Arial" w:hAnsi="Arial" w:cs="Arial"/>
          <w:b/>
          <w:sz w:val="21"/>
          <w:szCs w:val="21"/>
        </w:rPr>
        <w:t>(from January 1, 2015 to September 30, 2015)</w:t>
      </w:r>
    </w:p>
    <w:p w14:paraId="6BEF10E9" w14:textId="77777777" w:rsidR="00982915" w:rsidRDefault="00EB6F73">
      <w:pPr>
        <w:spacing w:after="0" w:line="240" w:lineRule="auto"/>
        <w:jc w:val="right"/>
        <w:rPr>
          <w:rFonts w:ascii="Arial" w:hAnsi="Arial" w:cs="Arial"/>
          <w:sz w:val="16"/>
          <w:szCs w:val="18"/>
        </w:rPr>
      </w:pPr>
      <w:r>
        <w:rPr>
          <w:rFonts w:ascii="Arial" w:hAnsi="Arial" w:cs="Arial"/>
          <w:sz w:val="16"/>
          <w:szCs w:val="18"/>
        </w:rPr>
        <w:t>(Figures are rounded to the nearest one million yen.)</w:t>
      </w:r>
    </w:p>
    <w:p w14:paraId="4D68A4AB" w14:textId="77777777" w:rsidR="00982915" w:rsidRDefault="00EB6F73">
      <w:pPr>
        <w:spacing w:after="0" w:line="240" w:lineRule="auto"/>
        <w:jc w:val="both"/>
        <w:rPr>
          <w:rFonts w:ascii="Arial" w:hAnsi="Arial" w:cs="Arial"/>
          <w:sz w:val="16"/>
          <w:szCs w:val="18"/>
        </w:rPr>
      </w:pPr>
      <w:r>
        <w:rPr>
          <w:rFonts w:ascii="Arial" w:hAnsi="Arial" w:cs="Arial"/>
          <w:b/>
          <w:sz w:val="21"/>
          <w:szCs w:val="21"/>
        </w:rPr>
        <w:t>(1) Consolidated business results</w:t>
      </w:r>
      <w:r>
        <w:rPr>
          <w:rFonts w:ascii="Arial" w:hAnsi="Arial" w:cs="Arial"/>
          <w:sz w:val="21"/>
          <w:szCs w:val="21"/>
        </w:rPr>
        <w:t xml:space="preserve">  </w:t>
      </w:r>
      <w:r>
        <w:rPr>
          <w:rFonts w:ascii="Arial" w:hAnsi="Arial" w:cs="Arial" w:hint="eastAsia"/>
          <w:sz w:val="21"/>
          <w:szCs w:val="21"/>
        </w:rPr>
        <w:t xml:space="preserve">　　</w:t>
      </w:r>
      <w:proofErr w:type="gramStart"/>
      <w:r>
        <w:rPr>
          <w:rFonts w:ascii="Arial" w:hAnsi="Arial" w:cs="Arial" w:hint="eastAsia"/>
          <w:sz w:val="21"/>
          <w:szCs w:val="21"/>
        </w:rPr>
        <w:t xml:space="preserve">　</w:t>
      </w:r>
      <w:r>
        <w:rPr>
          <w:rFonts w:ascii="Arial" w:hAnsi="Arial" w:cs="Arial"/>
          <w:sz w:val="21"/>
          <w:szCs w:val="21"/>
        </w:rPr>
        <w:t xml:space="preserve"> </w:t>
      </w:r>
      <w:r>
        <w:rPr>
          <w:rFonts w:ascii="Arial" w:hAnsi="Arial" w:cs="Arial"/>
          <w:sz w:val="20"/>
          <w:szCs w:val="21"/>
        </w:rPr>
        <w:t xml:space="preserve"> </w:t>
      </w:r>
      <w:r>
        <w:rPr>
          <w:rFonts w:ascii="Arial" w:hAnsi="Arial" w:cs="Arial"/>
          <w:sz w:val="16"/>
          <w:szCs w:val="18"/>
        </w:rPr>
        <w:t>(</w:t>
      </w:r>
      <w:proofErr w:type="gramEnd"/>
      <w:r>
        <w:rPr>
          <w:rFonts w:ascii="Arial" w:hAnsi="Arial" w:cs="Arial"/>
          <w:sz w:val="16"/>
          <w:szCs w:val="18"/>
        </w:rPr>
        <w:t>Percentages show change in value from the same period of the previous fiscal year</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890"/>
        <w:gridCol w:w="1195"/>
        <w:gridCol w:w="598"/>
        <w:gridCol w:w="1195"/>
        <w:gridCol w:w="698"/>
        <w:gridCol w:w="1195"/>
        <w:gridCol w:w="698"/>
        <w:gridCol w:w="1195"/>
        <w:gridCol w:w="698"/>
      </w:tblGrid>
      <w:tr w:rsidR="00982915" w14:paraId="4A02ACB3" w14:textId="77777777">
        <w:trPr>
          <w:trHeight w:val="227"/>
        </w:trPr>
        <w:tc>
          <w:tcPr>
            <w:tcW w:w="2890" w:type="dxa"/>
            <w:tcBorders>
              <w:bottom w:val="single" w:sz="8" w:space="0" w:color="auto"/>
              <w:right w:val="single" w:sz="8" w:space="0" w:color="auto"/>
            </w:tcBorders>
            <w:vAlign w:val="center"/>
          </w:tcPr>
          <w:p w14:paraId="42820EDC" w14:textId="77777777" w:rsidR="00982915" w:rsidRDefault="00982915">
            <w:pPr>
              <w:jc w:val="both"/>
              <w:rPr>
                <w:rFonts w:ascii="Arial" w:hAnsi="Arial" w:cs="Arial"/>
                <w:sz w:val="18"/>
                <w:szCs w:val="18"/>
              </w:rPr>
            </w:pPr>
          </w:p>
        </w:tc>
        <w:tc>
          <w:tcPr>
            <w:tcW w:w="1793" w:type="dxa"/>
            <w:gridSpan w:val="2"/>
            <w:tcBorders>
              <w:left w:val="single" w:sz="8" w:space="0" w:color="auto"/>
              <w:right w:val="single" w:sz="8" w:space="0" w:color="auto"/>
            </w:tcBorders>
            <w:vAlign w:val="center"/>
          </w:tcPr>
          <w:p w14:paraId="1280E67D" w14:textId="77777777" w:rsidR="00982915" w:rsidRDefault="00EB6F73">
            <w:pPr>
              <w:jc w:val="center"/>
              <w:rPr>
                <w:rFonts w:ascii="Arial" w:hAnsi="Arial" w:cs="Arial"/>
                <w:sz w:val="18"/>
                <w:szCs w:val="18"/>
              </w:rPr>
            </w:pPr>
            <w:r>
              <w:rPr>
                <w:rFonts w:ascii="Arial" w:hAnsi="Arial" w:cs="Arial"/>
                <w:sz w:val="18"/>
                <w:szCs w:val="18"/>
              </w:rPr>
              <w:t>Net sales</w:t>
            </w:r>
          </w:p>
        </w:tc>
        <w:tc>
          <w:tcPr>
            <w:tcW w:w="1893" w:type="dxa"/>
            <w:gridSpan w:val="2"/>
            <w:tcBorders>
              <w:left w:val="single" w:sz="8" w:space="0" w:color="auto"/>
              <w:bottom w:val="single" w:sz="8" w:space="0" w:color="auto"/>
              <w:right w:val="single" w:sz="8" w:space="0" w:color="auto"/>
            </w:tcBorders>
            <w:vAlign w:val="center"/>
          </w:tcPr>
          <w:p w14:paraId="761717B5" w14:textId="77777777" w:rsidR="00982915" w:rsidRDefault="00EB6F73">
            <w:pPr>
              <w:jc w:val="center"/>
              <w:rPr>
                <w:rFonts w:ascii="Arial" w:hAnsi="Arial" w:cs="Arial"/>
                <w:sz w:val="18"/>
                <w:szCs w:val="18"/>
              </w:rPr>
            </w:pPr>
            <w:r>
              <w:rPr>
                <w:rFonts w:ascii="Arial" w:hAnsi="Arial" w:cs="Arial"/>
                <w:sz w:val="18"/>
                <w:szCs w:val="18"/>
              </w:rPr>
              <w:t>Operating income</w:t>
            </w:r>
          </w:p>
        </w:tc>
        <w:tc>
          <w:tcPr>
            <w:tcW w:w="1893" w:type="dxa"/>
            <w:gridSpan w:val="2"/>
            <w:tcBorders>
              <w:left w:val="single" w:sz="8" w:space="0" w:color="auto"/>
              <w:bottom w:val="single" w:sz="8" w:space="0" w:color="auto"/>
              <w:right w:val="single" w:sz="8" w:space="0" w:color="auto"/>
            </w:tcBorders>
            <w:vAlign w:val="center"/>
          </w:tcPr>
          <w:p w14:paraId="6EF573D6" w14:textId="77777777" w:rsidR="00982915" w:rsidRDefault="00EB6F73">
            <w:pPr>
              <w:jc w:val="center"/>
              <w:rPr>
                <w:rFonts w:ascii="Arial" w:hAnsi="Arial" w:cs="Arial"/>
                <w:sz w:val="18"/>
                <w:szCs w:val="18"/>
              </w:rPr>
            </w:pPr>
            <w:r>
              <w:rPr>
                <w:rFonts w:ascii="Arial" w:hAnsi="Arial" w:cs="Arial"/>
                <w:sz w:val="18"/>
                <w:szCs w:val="18"/>
              </w:rPr>
              <w:t>Ordinary income</w:t>
            </w:r>
          </w:p>
        </w:tc>
        <w:tc>
          <w:tcPr>
            <w:tcW w:w="1893" w:type="dxa"/>
            <w:gridSpan w:val="2"/>
            <w:tcBorders>
              <w:left w:val="single" w:sz="8" w:space="0" w:color="auto"/>
              <w:bottom w:val="single" w:sz="8" w:space="0" w:color="auto"/>
            </w:tcBorders>
            <w:vAlign w:val="center"/>
          </w:tcPr>
          <w:p w14:paraId="5969C6F6" w14:textId="77777777" w:rsidR="00982915" w:rsidRDefault="00EB6F73">
            <w:pPr>
              <w:jc w:val="center"/>
              <w:rPr>
                <w:rFonts w:ascii="Arial" w:hAnsi="Arial" w:cs="Arial"/>
                <w:sz w:val="18"/>
                <w:szCs w:val="18"/>
              </w:rPr>
            </w:pPr>
            <w:r>
              <w:rPr>
                <w:rFonts w:ascii="Arial" w:hAnsi="Arial" w:cs="Arial"/>
                <w:sz w:val="18"/>
                <w:szCs w:val="18"/>
              </w:rPr>
              <w:t>Net income</w:t>
            </w:r>
          </w:p>
        </w:tc>
      </w:tr>
      <w:tr w:rsidR="00982915" w14:paraId="1252CFEE" w14:textId="77777777">
        <w:trPr>
          <w:trHeight w:val="227"/>
        </w:trPr>
        <w:tc>
          <w:tcPr>
            <w:tcW w:w="2890" w:type="dxa"/>
            <w:tcBorders>
              <w:top w:val="single" w:sz="8" w:space="0" w:color="auto"/>
              <w:right w:val="single" w:sz="8" w:space="0" w:color="auto"/>
            </w:tcBorders>
            <w:vAlign w:val="center"/>
          </w:tcPr>
          <w:p w14:paraId="63A826FE" w14:textId="77777777" w:rsidR="00982915" w:rsidRDefault="00982915">
            <w:pPr>
              <w:jc w:val="both"/>
              <w:rPr>
                <w:rFonts w:ascii="Arial" w:hAnsi="Arial" w:cs="Arial"/>
                <w:sz w:val="18"/>
                <w:szCs w:val="18"/>
              </w:rPr>
            </w:pPr>
          </w:p>
        </w:tc>
        <w:tc>
          <w:tcPr>
            <w:tcW w:w="1195" w:type="dxa"/>
            <w:tcBorders>
              <w:top w:val="single" w:sz="8" w:space="0" w:color="auto"/>
              <w:left w:val="single" w:sz="8" w:space="0" w:color="auto"/>
            </w:tcBorders>
            <w:vAlign w:val="center"/>
          </w:tcPr>
          <w:p w14:paraId="44ECC18E" w14:textId="77777777" w:rsidR="00982915" w:rsidRDefault="00EB6F73">
            <w:pPr>
              <w:jc w:val="right"/>
              <w:rPr>
                <w:rFonts w:ascii="Arial" w:hAnsi="Arial" w:cs="Arial"/>
                <w:sz w:val="14"/>
                <w:szCs w:val="18"/>
              </w:rPr>
            </w:pPr>
            <w:r>
              <w:rPr>
                <w:rFonts w:ascii="Arial" w:hAnsi="Arial" w:cs="Arial"/>
                <w:sz w:val="14"/>
                <w:szCs w:val="18"/>
              </w:rPr>
              <w:t>Million yen</w:t>
            </w:r>
          </w:p>
        </w:tc>
        <w:tc>
          <w:tcPr>
            <w:tcW w:w="598" w:type="dxa"/>
            <w:tcBorders>
              <w:top w:val="single" w:sz="8" w:space="0" w:color="auto"/>
              <w:right w:val="single" w:sz="8" w:space="0" w:color="auto"/>
            </w:tcBorders>
            <w:vAlign w:val="center"/>
          </w:tcPr>
          <w:p w14:paraId="49CA31E9" w14:textId="77777777" w:rsidR="00982915" w:rsidRDefault="00EB6F73">
            <w:pPr>
              <w:jc w:val="right"/>
              <w:rPr>
                <w:rFonts w:ascii="Arial" w:hAnsi="Arial" w:cs="Arial"/>
                <w:sz w:val="14"/>
                <w:szCs w:val="18"/>
              </w:rPr>
            </w:pPr>
            <w:r>
              <w:rPr>
                <w:rFonts w:ascii="Arial" w:hAnsi="Arial" w:cs="Arial"/>
                <w:sz w:val="14"/>
                <w:szCs w:val="18"/>
              </w:rPr>
              <w:t>%</w:t>
            </w:r>
          </w:p>
        </w:tc>
        <w:tc>
          <w:tcPr>
            <w:tcW w:w="1195" w:type="dxa"/>
            <w:tcBorders>
              <w:top w:val="single" w:sz="8" w:space="0" w:color="auto"/>
              <w:left w:val="single" w:sz="8" w:space="0" w:color="auto"/>
            </w:tcBorders>
            <w:vAlign w:val="center"/>
          </w:tcPr>
          <w:p w14:paraId="6CE9A2DD" w14:textId="77777777" w:rsidR="00982915" w:rsidRDefault="00EB6F73">
            <w:pPr>
              <w:jc w:val="right"/>
              <w:rPr>
                <w:rFonts w:ascii="Arial" w:hAnsi="Arial" w:cs="Arial"/>
                <w:sz w:val="14"/>
                <w:szCs w:val="18"/>
              </w:rPr>
            </w:pPr>
            <w:r>
              <w:rPr>
                <w:rFonts w:ascii="Arial" w:hAnsi="Arial" w:cs="Arial"/>
                <w:sz w:val="14"/>
                <w:szCs w:val="18"/>
              </w:rPr>
              <w:t>Million yen</w:t>
            </w:r>
          </w:p>
        </w:tc>
        <w:tc>
          <w:tcPr>
            <w:tcW w:w="698" w:type="dxa"/>
            <w:tcBorders>
              <w:top w:val="single" w:sz="8" w:space="0" w:color="auto"/>
              <w:right w:val="single" w:sz="8" w:space="0" w:color="auto"/>
            </w:tcBorders>
            <w:vAlign w:val="center"/>
          </w:tcPr>
          <w:p w14:paraId="5A19F5B7" w14:textId="77777777" w:rsidR="00982915" w:rsidRDefault="00EB6F73">
            <w:pPr>
              <w:jc w:val="right"/>
              <w:rPr>
                <w:rFonts w:ascii="Arial" w:hAnsi="Arial" w:cs="Arial"/>
                <w:sz w:val="14"/>
                <w:szCs w:val="18"/>
              </w:rPr>
            </w:pPr>
            <w:r>
              <w:rPr>
                <w:rFonts w:ascii="Arial" w:hAnsi="Arial" w:cs="Arial"/>
                <w:sz w:val="14"/>
                <w:szCs w:val="18"/>
              </w:rPr>
              <w:t>%</w:t>
            </w:r>
          </w:p>
        </w:tc>
        <w:tc>
          <w:tcPr>
            <w:tcW w:w="1195" w:type="dxa"/>
            <w:tcBorders>
              <w:left w:val="single" w:sz="8" w:space="0" w:color="auto"/>
            </w:tcBorders>
            <w:vAlign w:val="center"/>
          </w:tcPr>
          <w:p w14:paraId="30F44A05" w14:textId="77777777" w:rsidR="00982915" w:rsidRDefault="00EB6F73">
            <w:pPr>
              <w:jc w:val="right"/>
              <w:rPr>
                <w:rFonts w:ascii="Arial" w:hAnsi="Arial" w:cs="Arial"/>
                <w:sz w:val="14"/>
                <w:szCs w:val="18"/>
              </w:rPr>
            </w:pPr>
            <w:r>
              <w:rPr>
                <w:rFonts w:ascii="Arial" w:hAnsi="Arial" w:cs="Arial"/>
                <w:sz w:val="14"/>
                <w:szCs w:val="18"/>
              </w:rPr>
              <w:t>Million yen</w:t>
            </w:r>
          </w:p>
        </w:tc>
        <w:tc>
          <w:tcPr>
            <w:tcW w:w="698" w:type="dxa"/>
            <w:tcBorders>
              <w:right w:val="single" w:sz="8" w:space="0" w:color="auto"/>
            </w:tcBorders>
            <w:vAlign w:val="center"/>
          </w:tcPr>
          <w:p w14:paraId="26C861CF" w14:textId="77777777" w:rsidR="00982915" w:rsidRDefault="00EB6F73">
            <w:pPr>
              <w:jc w:val="right"/>
              <w:rPr>
                <w:rFonts w:ascii="Arial" w:hAnsi="Arial" w:cs="Arial"/>
                <w:sz w:val="14"/>
                <w:szCs w:val="18"/>
              </w:rPr>
            </w:pPr>
            <w:r>
              <w:rPr>
                <w:rFonts w:ascii="Arial" w:hAnsi="Arial" w:cs="Arial"/>
                <w:sz w:val="14"/>
                <w:szCs w:val="18"/>
              </w:rPr>
              <w:t>%</w:t>
            </w:r>
          </w:p>
        </w:tc>
        <w:tc>
          <w:tcPr>
            <w:tcW w:w="1195" w:type="dxa"/>
            <w:tcBorders>
              <w:top w:val="single" w:sz="8" w:space="0" w:color="auto"/>
              <w:left w:val="single" w:sz="8" w:space="0" w:color="auto"/>
            </w:tcBorders>
            <w:vAlign w:val="center"/>
          </w:tcPr>
          <w:p w14:paraId="705CFA51" w14:textId="77777777" w:rsidR="00982915" w:rsidRDefault="00EB6F73">
            <w:pPr>
              <w:jc w:val="right"/>
              <w:rPr>
                <w:rFonts w:ascii="Arial" w:hAnsi="Arial" w:cs="Arial"/>
                <w:sz w:val="14"/>
                <w:szCs w:val="18"/>
              </w:rPr>
            </w:pPr>
            <w:r>
              <w:rPr>
                <w:rFonts w:ascii="Arial" w:hAnsi="Arial" w:cs="Arial"/>
                <w:sz w:val="14"/>
                <w:szCs w:val="18"/>
              </w:rPr>
              <w:t>Million yen</w:t>
            </w:r>
          </w:p>
        </w:tc>
        <w:tc>
          <w:tcPr>
            <w:tcW w:w="698" w:type="dxa"/>
            <w:tcBorders>
              <w:top w:val="single" w:sz="8" w:space="0" w:color="auto"/>
            </w:tcBorders>
            <w:vAlign w:val="center"/>
          </w:tcPr>
          <w:p w14:paraId="39FBF781" w14:textId="77777777" w:rsidR="00982915" w:rsidRDefault="00EB6F73">
            <w:pPr>
              <w:jc w:val="right"/>
              <w:rPr>
                <w:rFonts w:ascii="Arial" w:hAnsi="Arial" w:cs="Arial"/>
                <w:sz w:val="14"/>
                <w:szCs w:val="18"/>
              </w:rPr>
            </w:pPr>
            <w:r>
              <w:rPr>
                <w:rFonts w:ascii="Arial" w:hAnsi="Arial" w:cs="Arial"/>
                <w:sz w:val="14"/>
                <w:szCs w:val="18"/>
              </w:rPr>
              <w:t>%</w:t>
            </w:r>
          </w:p>
        </w:tc>
      </w:tr>
      <w:tr w:rsidR="00982915" w14:paraId="66E9667E" w14:textId="77777777">
        <w:trPr>
          <w:trHeight w:val="227"/>
        </w:trPr>
        <w:tc>
          <w:tcPr>
            <w:tcW w:w="2890" w:type="dxa"/>
            <w:tcBorders>
              <w:right w:val="single" w:sz="8" w:space="0" w:color="auto"/>
            </w:tcBorders>
            <w:vAlign w:val="center"/>
          </w:tcPr>
          <w:p w14:paraId="0DFF9C8E" w14:textId="77777777" w:rsidR="00982915" w:rsidRDefault="00EB6F73">
            <w:pPr>
              <w:jc w:val="both"/>
              <w:rPr>
                <w:rFonts w:ascii="Arial" w:hAnsi="Arial" w:cs="Arial"/>
                <w:sz w:val="18"/>
                <w:szCs w:val="18"/>
              </w:rPr>
            </w:pPr>
            <w:r>
              <w:rPr>
                <w:rFonts w:ascii="Arial" w:hAnsi="Arial" w:cs="Arial"/>
                <w:sz w:val="18"/>
                <w:szCs w:val="18"/>
              </w:rPr>
              <w:t>9 Months Ended Sept. 30, 2015</w:t>
            </w:r>
          </w:p>
        </w:tc>
        <w:tc>
          <w:tcPr>
            <w:tcW w:w="1195" w:type="dxa"/>
            <w:tcBorders>
              <w:left w:val="single" w:sz="8" w:space="0" w:color="auto"/>
            </w:tcBorders>
            <w:vAlign w:val="center"/>
          </w:tcPr>
          <w:p w14:paraId="2225A4D1" w14:textId="70267F4B" w:rsidR="00982915" w:rsidRDefault="00982915">
            <w:pPr>
              <w:jc w:val="right"/>
              <w:rPr>
                <w:rFonts w:ascii="Arial" w:hAnsi="Arial" w:cs="Arial"/>
                <w:sz w:val="18"/>
                <w:szCs w:val="18"/>
              </w:rPr>
            </w:pPr>
          </w:p>
        </w:tc>
        <w:tc>
          <w:tcPr>
            <w:tcW w:w="598" w:type="dxa"/>
            <w:tcBorders>
              <w:right w:val="single" w:sz="8" w:space="0" w:color="auto"/>
            </w:tcBorders>
            <w:vAlign w:val="center"/>
          </w:tcPr>
          <w:p w14:paraId="1930A65E" w14:textId="7F103DA2" w:rsidR="00982915" w:rsidRDefault="00982915">
            <w:pPr>
              <w:jc w:val="right"/>
              <w:rPr>
                <w:rFonts w:ascii="Arial" w:hAnsi="Arial" w:cs="Arial"/>
                <w:sz w:val="18"/>
                <w:szCs w:val="18"/>
              </w:rPr>
            </w:pPr>
          </w:p>
        </w:tc>
        <w:tc>
          <w:tcPr>
            <w:tcW w:w="1195" w:type="dxa"/>
            <w:tcBorders>
              <w:left w:val="single" w:sz="8" w:space="0" w:color="auto"/>
            </w:tcBorders>
            <w:vAlign w:val="center"/>
          </w:tcPr>
          <w:p w14:paraId="7A6B1FB7" w14:textId="416D4FA3" w:rsidR="00982915" w:rsidRDefault="00982915">
            <w:pPr>
              <w:jc w:val="right"/>
              <w:rPr>
                <w:rFonts w:ascii="Arial" w:hAnsi="Arial" w:cs="Arial"/>
                <w:sz w:val="18"/>
                <w:szCs w:val="18"/>
              </w:rPr>
            </w:pPr>
          </w:p>
        </w:tc>
        <w:tc>
          <w:tcPr>
            <w:tcW w:w="698" w:type="dxa"/>
            <w:tcBorders>
              <w:right w:val="single" w:sz="8" w:space="0" w:color="auto"/>
            </w:tcBorders>
            <w:vAlign w:val="center"/>
          </w:tcPr>
          <w:p w14:paraId="7AAC98D4" w14:textId="253AE89B" w:rsidR="00982915" w:rsidRDefault="00982915">
            <w:pPr>
              <w:jc w:val="right"/>
              <w:rPr>
                <w:rFonts w:ascii="Arial" w:hAnsi="Arial" w:cs="Arial"/>
                <w:sz w:val="18"/>
                <w:szCs w:val="18"/>
              </w:rPr>
            </w:pPr>
          </w:p>
        </w:tc>
        <w:tc>
          <w:tcPr>
            <w:tcW w:w="1195" w:type="dxa"/>
            <w:tcBorders>
              <w:left w:val="single" w:sz="8" w:space="0" w:color="auto"/>
            </w:tcBorders>
            <w:vAlign w:val="center"/>
          </w:tcPr>
          <w:p w14:paraId="4A6FE5D7" w14:textId="7618206E" w:rsidR="00982915" w:rsidRDefault="00982915">
            <w:pPr>
              <w:jc w:val="right"/>
              <w:rPr>
                <w:rFonts w:ascii="Arial" w:hAnsi="Arial" w:cs="Arial"/>
                <w:sz w:val="18"/>
                <w:szCs w:val="18"/>
              </w:rPr>
            </w:pPr>
          </w:p>
        </w:tc>
        <w:tc>
          <w:tcPr>
            <w:tcW w:w="698" w:type="dxa"/>
            <w:tcBorders>
              <w:right w:val="single" w:sz="8" w:space="0" w:color="auto"/>
            </w:tcBorders>
            <w:vAlign w:val="center"/>
          </w:tcPr>
          <w:p w14:paraId="41D14771" w14:textId="7314E82A" w:rsidR="00982915" w:rsidRDefault="00982915">
            <w:pPr>
              <w:jc w:val="right"/>
              <w:rPr>
                <w:rFonts w:ascii="Arial" w:hAnsi="Arial" w:cs="Arial"/>
                <w:sz w:val="18"/>
                <w:szCs w:val="18"/>
              </w:rPr>
            </w:pPr>
          </w:p>
        </w:tc>
        <w:tc>
          <w:tcPr>
            <w:tcW w:w="1195" w:type="dxa"/>
            <w:tcBorders>
              <w:left w:val="single" w:sz="8" w:space="0" w:color="auto"/>
            </w:tcBorders>
            <w:vAlign w:val="center"/>
          </w:tcPr>
          <w:p w14:paraId="14AE87D4" w14:textId="2D433AC2" w:rsidR="00982915" w:rsidRDefault="00982915">
            <w:pPr>
              <w:jc w:val="right"/>
              <w:rPr>
                <w:rFonts w:ascii="Arial" w:hAnsi="Arial" w:cs="Arial"/>
                <w:sz w:val="18"/>
                <w:szCs w:val="18"/>
              </w:rPr>
            </w:pPr>
          </w:p>
        </w:tc>
        <w:tc>
          <w:tcPr>
            <w:tcW w:w="698" w:type="dxa"/>
            <w:vAlign w:val="center"/>
          </w:tcPr>
          <w:p w14:paraId="069D9853" w14:textId="1FF116B0" w:rsidR="00982915" w:rsidRDefault="00982915">
            <w:pPr>
              <w:jc w:val="right"/>
              <w:rPr>
                <w:rFonts w:ascii="Arial" w:hAnsi="Arial" w:cs="Arial"/>
                <w:sz w:val="18"/>
                <w:szCs w:val="18"/>
              </w:rPr>
            </w:pPr>
          </w:p>
        </w:tc>
      </w:tr>
      <w:tr w:rsidR="00982915" w14:paraId="354A6686" w14:textId="77777777">
        <w:trPr>
          <w:trHeight w:val="227"/>
        </w:trPr>
        <w:tc>
          <w:tcPr>
            <w:tcW w:w="2890" w:type="dxa"/>
            <w:tcBorders>
              <w:right w:val="single" w:sz="8" w:space="0" w:color="auto"/>
            </w:tcBorders>
            <w:vAlign w:val="center"/>
          </w:tcPr>
          <w:p w14:paraId="230DCE69" w14:textId="77777777" w:rsidR="00982915" w:rsidRDefault="00EB6F73">
            <w:pPr>
              <w:jc w:val="both"/>
              <w:rPr>
                <w:rFonts w:ascii="Arial" w:hAnsi="Arial" w:cs="Arial"/>
                <w:sz w:val="18"/>
                <w:szCs w:val="18"/>
              </w:rPr>
            </w:pPr>
            <w:r>
              <w:rPr>
                <w:rFonts w:ascii="Arial" w:hAnsi="Arial" w:cs="Arial"/>
                <w:sz w:val="18"/>
                <w:szCs w:val="18"/>
              </w:rPr>
              <w:t>9 Months Ended Sept. 30, 2014</w:t>
            </w:r>
          </w:p>
        </w:tc>
        <w:tc>
          <w:tcPr>
            <w:tcW w:w="1195" w:type="dxa"/>
            <w:tcBorders>
              <w:left w:val="single" w:sz="8" w:space="0" w:color="auto"/>
            </w:tcBorders>
            <w:vAlign w:val="center"/>
          </w:tcPr>
          <w:p w14:paraId="63B4556E" w14:textId="6D82FD4A" w:rsidR="00982915" w:rsidRDefault="00982915">
            <w:pPr>
              <w:jc w:val="right"/>
              <w:rPr>
                <w:rFonts w:ascii="Arial" w:hAnsi="Arial" w:cs="Arial"/>
                <w:sz w:val="18"/>
                <w:szCs w:val="18"/>
              </w:rPr>
            </w:pPr>
          </w:p>
        </w:tc>
        <w:tc>
          <w:tcPr>
            <w:tcW w:w="598" w:type="dxa"/>
            <w:tcBorders>
              <w:right w:val="single" w:sz="8" w:space="0" w:color="auto"/>
            </w:tcBorders>
            <w:vAlign w:val="center"/>
          </w:tcPr>
          <w:p w14:paraId="183E3B26" w14:textId="032981EB" w:rsidR="00982915" w:rsidRDefault="00982915">
            <w:pPr>
              <w:jc w:val="right"/>
              <w:rPr>
                <w:rFonts w:ascii="Arial" w:hAnsi="Arial" w:cs="Arial"/>
                <w:sz w:val="18"/>
                <w:szCs w:val="18"/>
              </w:rPr>
            </w:pPr>
          </w:p>
        </w:tc>
        <w:tc>
          <w:tcPr>
            <w:tcW w:w="1195" w:type="dxa"/>
            <w:tcBorders>
              <w:left w:val="single" w:sz="8" w:space="0" w:color="auto"/>
            </w:tcBorders>
            <w:vAlign w:val="center"/>
          </w:tcPr>
          <w:p w14:paraId="266FE0A5" w14:textId="0A7B0101" w:rsidR="00982915" w:rsidRDefault="00982915">
            <w:pPr>
              <w:jc w:val="right"/>
              <w:rPr>
                <w:rFonts w:ascii="Arial" w:hAnsi="Arial" w:cs="Arial"/>
                <w:sz w:val="18"/>
                <w:szCs w:val="18"/>
              </w:rPr>
            </w:pPr>
          </w:p>
        </w:tc>
        <w:tc>
          <w:tcPr>
            <w:tcW w:w="698" w:type="dxa"/>
            <w:tcBorders>
              <w:right w:val="single" w:sz="8" w:space="0" w:color="auto"/>
            </w:tcBorders>
            <w:vAlign w:val="center"/>
          </w:tcPr>
          <w:p w14:paraId="2D09EA7E" w14:textId="7B37B222" w:rsidR="00982915" w:rsidRDefault="00982915">
            <w:pPr>
              <w:jc w:val="right"/>
              <w:rPr>
                <w:rFonts w:ascii="Arial" w:hAnsi="Arial" w:cs="Arial"/>
                <w:sz w:val="18"/>
                <w:szCs w:val="18"/>
              </w:rPr>
            </w:pPr>
          </w:p>
        </w:tc>
        <w:tc>
          <w:tcPr>
            <w:tcW w:w="1195" w:type="dxa"/>
            <w:tcBorders>
              <w:left w:val="single" w:sz="8" w:space="0" w:color="auto"/>
            </w:tcBorders>
            <w:vAlign w:val="center"/>
          </w:tcPr>
          <w:p w14:paraId="7075A15D" w14:textId="75A24B4A" w:rsidR="00982915" w:rsidRDefault="00982915">
            <w:pPr>
              <w:jc w:val="right"/>
              <w:rPr>
                <w:rFonts w:ascii="Arial" w:hAnsi="Arial" w:cs="Arial"/>
                <w:sz w:val="18"/>
                <w:szCs w:val="18"/>
              </w:rPr>
            </w:pPr>
          </w:p>
        </w:tc>
        <w:tc>
          <w:tcPr>
            <w:tcW w:w="698" w:type="dxa"/>
            <w:tcBorders>
              <w:right w:val="single" w:sz="8" w:space="0" w:color="auto"/>
            </w:tcBorders>
            <w:vAlign w:val="center"/>
          </w:tcPr>
          <w:p w14:paraId="6BBC5276" w14:textId="585F2950" w:rsidR="00982915" w:rsidRDefault="00982915">
            <w:pPr>
              <w:jc w:val="right"/>
              <w:rPr>
                <w:rFonts w:ascii="Arial" w:hAnsi="Arial" w:cs="Arial"/>
                <w:sz w:val="18"/>
                <w:szCs w:val="18"/>
              </w:rPr>
            </w:pPr>
          </w:p>
        </w:tc>
        <w:tc>
          <w:tcPr>
            <w:tcW w:w="1195" w:type="dxa"/>
            <w:tcBorders>
              <w:left w:val="single" w:sz="8" w:space="0" w:color="auto"/>
            </w:tcBorders>
            <w:vAlign w:val="center"/>
          </w:tcPr>
          <w:p w14:paraId="32B46570" w14:textId="6F5B0563" w:rsidR="00982915" w:rsidRDefault="00982915" w:rsidP="00491326">
            <w:pPr>
              <w:ind w:right="90"/>
              <w:jc w:val="right"/>
              <w:rPr>
                <w:rFonts w:ascii="Arial" w:hAnsi="Arial" w:cs="Arial"/>
                <w:sz w:val="18"/>
                <w:szCs w:val="18"/>
              </w:rPr>
            </w:pPr>
          </w:p>
        </w:tc>
        <w:tc>
          <w:tcPr>
            <w:tcW w:w="698" w:type="dxa"/>
            <w:vAlign w:val="center"/>
          </w:tcPr>
          <w:p w14:paraId="4DA45B2B" w14:textId="17744D8A" w:rsidR="00982915" w:rsidRDefault="00982915">
            <w:pPr>
              <w:jc w:val="right"/>
              <w:rPr>
                <w:rFonts w:ascii="Arial" w:hAnsi="Arial" w:cs="Arial"/>
                <w:sz w:val="18"/>
                <w:szCs w:val="18"/>
              </w:rPr>
            </w:pPr>
          </w:p>
        </w:tc>
      </w:tr>
    </w:tbl>
    <w:p w14:paraId="024BFDB9" w14:textId="292B9F02" w:rsidR="00982915" w:rsidRDefault="00EB6F73">
      <w:pPr>
        <w:spacing w:after="0" w:line="240" w:lineRule="auto"/>
        <w:jc w:val="both"/>
        <w:rPr>
          <w:rFonts w:ascii="Arial" w:hAnsi="Arial" w:cs="Arial"/>
          <w:sz w:val="18"/>
          <w:szCs w:val="18"/>
        </w:rPr>
      </w:pPr>
      <w:r>
        <w:rPr>
          <w:rFonts w:ascii="Arial" w:hAnsi="Arial" w:cs="Arial"/>
          <w:sz w:val="18"/>
          <w:szCs w:val="18"/>
        </w:rPr>
        <w:t xml:space="preserve">(Note) Comprehensive income: 9 Months Ended Sept. 30, 2015: </w:t>
      </w:r>
      <w:r w:rsidR="00491326">
        <w:rPr>
          <w:rFonts w:ascii="Arial" w:hAnsi="Arial" w:cs="Arial"/>
          <w:sz w:val="18"/>
          <w:szCs w:val="18"/>
        </w:rPr>
        <w:t>1,000</w:t>
      </w:r>
      <w:r>
        <w:rPr>
          <w:rFonts w:ascii="Arial" w:hAnsi="Arial" w:cs="Arial"/>
          <w:sz w:val="18"/>
          <w:szCs w:val="18"/>
        </w:rPr>
        <w:t xml:space="preserve"> million yen (</w:t>
      </w:r>
      <w:r w:rsidR="00491326">
        <w:rPr>
          <w:rFonts w:ascii="Arial" w:hAnsi="Arial" w:cs="Arial"/>
          <w:sz w:val="18"/>
          <w:szCs w:val="18"/>
        </w:rPr>
        <w:t>X</w:t>
      </w:r>
      <w:r>
        <w:rPr>
          <w:rFonts w:ascii="Arial" w:hAnsi="Arial" w:cs="Arial"/>
          <w:sz w:val="18"/>
          <w:szCs w:val="18"/>
        </w:rPr>
        <w:t xml:space="preserve">%); </w:t>
      </w:r>
    </w:p>
    <w:p w14:paraId="385149EB" w14:textId="47B557FB" w:rsidR="00982915" w:rsidRDefault="00EB6F73">
      <w:pPr>
        <w:spacing w:after="0" w:line="240" w:lineRule="auto"/>
        <w:jc w:val="both"/>
        <w:rPr>
          <w:rFonts w:ascii="Arial" w:hAnsi="Arial" w:cs="Arial"/>
          <w:sz w:val="18"/>
          <w:szCs w:val="18"/>
        </w:rPr>
      </w:pPr>
      <w:r>
        <w:rPr>
          <w:rFonts w:ascii="Arial" w:hAnsi="Arial" w:cs="Arial"/>
          <w:sz w:val="18"/>
          <w:szCs w:val="18"/>
        </w:rPr>
        <w:t xml:space="preserve">9 Months Ended Sept. 30, 2014: </w:t>
      </w:r>
      <w:r w:rsidR="00491326">
        <w:rPr>
          <w:rFonts w:ascii="Arial" w:hAnsi="Arial" w:cs="Arial"/>
          <w:sz w:val="18"/>
          <w:szCs w:val="18"/>
        </w:rPr>
        <w:t>1</w:t>
      </w:r>
      <w:r>
        <w:rPr>
          <w:rFonts w:ascii="Arial" w:hAnsi="Arial" w:cs="Arial"/>
          <w:sz w:val="18"/>
          <w:szCs w:val="18"/>
        </w:rPr>
        <w:t>,</w:t>
      </w:r>
      <w:r w:rsidR="00491326">
        <w:rPr>
          <w:rFonts w:ascii="Arial" w:hAnsi="Arial" w:cs="Arial"/>
          <w:sz w:val="18"/>
          <w:szCs w:val="18"/>
        </w:rPr>
        <w:t>000</w:t>
      </w:r>
      <w:r>
        <w:rPr>
          <w:rFonts w:ascii="Arial" w:hAnsi="Arial" w:cs="Arial"/>
          <w:sz w:val="18"/>
          <w:szCs w:val="18"/>
        </w:rPr>
        <w:t xml:space="preserve"> million yen (</w:t>
      </w:r>
      <w:r w:rsidR="00491326">
        <w:rPr>
          <w:rFonts w:ascii="Arial" w:hAnsi="Arial" w:cs="Arial"/>
          <w:sz w:val="18"/>
          <w:szCs w:val="18"/>
        </w:rPr>
        <w:t>XX</w:t>
      </w:r>
      <w:r>
        <w:rPr>
          <w:rFonts w:ascii="Arial" w:hAnsi="Arial" w:cs="Arial"/>
          <w:sz w:val="18"/>
          <w:szCs w:val="18"/>
        </w:rPr>
        <w:t>%)</w:t>
      </w:r>
    </w:p>
    <w:p w14:paraId="218DA08E" w14:textId="77777777" w:rsidR="00982915" w:rsidRDefault="00982915">
      <w:pPr>
        <w:spacing w:after="0" w:line="240" w:lineRule="auto"/>
        <w:jc w:val="both"/>
        <w:rPr>
          <w:rFonts w:ascii="Arial" w:hAnsi="Arial" w:cs="Arial"/>
          <w:sz w:val="21"/>
          <w:szCs w:val="21"/>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5"/>
        <w:gridCol w:w="1843"/>
        <w:gridCol w:w="1891"/>
      </w:tblGrid>
      <w:tr w:rsidR="00982915" w14:paraId="3A926530" w14:textId="77777777">
        <w:trPr>
          <w:trHeight w:val="142"/>
        </w:trPr>
        <w:tc>
          <w:tcPr>
            <w:tcW w:w="2835" w:type="dxa"/>
            <w:tcBorders>
              <w:bottom w:val="single" w:sz="8" w:space="0" w:color="auto"/>
              <w:right w:val="single" w:sz="8" w:space="0" w:color="auto"/>
            </w:tcBorders>
          </w:tcPr>
          <w:p w14:paraId="51552C72" w14:textId="77777777" w:rsidR="00982915" w:rsidRDefault="00982915">
            <w:pPr>
              <w:jc w:val="both"/>
              <w:rPr>
                <w:rFonts w:ascii="Arial" w:hAnsi="Arial" w:cs="Arial"/>
                <w:sz w:val="18"/>
                <w:szCs w:val="18"/>
              </w:rPr>
            </w:pPr>
          </w:p>
        </w:tc>
        <w:tc>
          <w:tcPr>
            <w:tcW w:w="1843" w:type="dxa"/>
            <w:tcBorders>
              <w:left w:val="single" w:sz="8" w:space="0" w:color="auto"/>
              <w:bottom w:val="single" w:sz="8" w:space="0" w:color="auto"/>
              <w:right w:val="single" w:sz="8" w:space="0" w:color="auto"/>
            </w:tcBorders>
            <w:vAlign w:val="center"/>
          </w:tcPr>
          <w:p w14:paraId="4B96E87B" w14:textId="77777777" w:rsidR="00982915" w:rsidRDefault="00EB6F73">
            <w:pPr>
              <w:jc w:val="center"/>
              <w:rPr>
                <w:rFonts w:ascii="Arial" w:hAnsi="Arial" w:cs="Arial"/>
                <w:sz w:val="18"/>
                <w:szCs w:val="18"/>
              </w:rPr>
            </w:pPr>
            <w:r>
              <w:rPr>
                <w:rFonts w:ascii="Arial" w:hAnsi="Arial" w:cs="Arial"/>
                <w:sz w:val="18"/>
                <w:szCs w:val="18"/>
              </w:rPr>
              <w:t>Net income</w:t>
            </w:r>
          </w:p>
          <w:p w14:paraId="77619311" w14:textId="77777777" w:rsidR="00982915" w:rsidRDefault="00EB6F73">
            <w:pPr>
              <w:jc w:val="center"/>
              <w:rPr>
                <w:rFonts w:ascii="Arial" w:hAnsi="Arial" w:cs="Arial"/>
                <w:sz w:val="18"/>
                <w:szCs w:val="18"/>
              </w:rPr>
            </w:pPr>
            <w:r>
              <w:rPr>
                <w:rFonts w:ascii="Arial" w:hAnsi="Arial" w:cs="Arial"/>
                <w:sz w:val="18"/>
                <w:szCs w:val="18"/>
              </w:rPr>
              <w:t>per share</w:t>
            </w:r>
          </w:p>
        </w:tc>
        <w:tc>
          <w:tcPr>
            <w:tcW w:w="1891" w:type="dxa"/>
            <w:tcBorders>
              <w:left w:val="single" w:sz="8" w:space="0" w:color="auto"/>
              <w:bottom w:val="single" w:sz="8" w:space="0" w:color="auto"/>
            </w:tcBorders>
            <w:vAlign w:val="center"/>
          </w:tcPr>
          <w:p w14:paraId="7553F1F4" w14:textId="77777777" w:rsidR="00982915" w:rsidRDefault="00EB6F73">
            <w:pPr>
              <w:jc w:val="center"/>
              <w:rPr>
                <w:rFonts w:ascii="Arial" w:hAnsi="Arial" w:cs="Arial"/>
                <w:sz w:val="18"/>
                <w:szCs w:val="18"/>
              </w:rPr>
            </w:pPr>
            <w:r>
              <w:rPr>
                <w:rFonts w:ascii="Arial" w:hAnsi="Arial" w:cs="Arial"/>
                <w:sz w:val="18"/>
                <w:szCs w:val="18"/>
              </w:rPr>
              <w:t xml:space="preserve">Diluted net income </w:t>
            </w:r>
          </w:p>
          <w:p w14:paraId="3076045E" w14:textId="77777777" w:rsidR="00982915" w:rsidRDefault="00EB6F73">
            <w:pPr>
              <w:jc w:val="center"/>
              <w:rPr>
                <w:rFonts w:ascii="Arial" w:hAnsi="Arial" w:cs="Arial"/>
                <w:sz w:val="18"/>
                <w:szCs w:val="18"/>
              </w:rPr>
            </w:pPr>
            <w:r>
              <w:rPr>
                <w:rFonts w:ascii="Arial" w:hAnsi="Arial" w:cs="Arial"/>
                <w:sz w:val="18"/>
                <w:szCs w:val="18"/>
              </w:rPr>
              <w:t>per share</w:t>
            </w:r>
          </w:p>
        </w:tc>
      </w:tr>
      <w:tr w:rsidR="00982915" w14:paraId="78403126" w14:textId="77777777">
        <w:trPr>
          <w:trHeight w:val="76"/>
        </w:trPr>
        <w:tc>
          <w:tcPr>
            <w:tcW w:w="2835" w:type="dxa"/>
            <w:tcBorders>
              <w:top w:val="single" w:sz="8" w:space="0" w:color="auto"/>
              <w:right w:val="single" w:sz="8" w:space="0" w:color="auto"/>
            </w:tcBorders>
          </w:tcPr>
          <w:p w14:paraId="1D40B084" w14:textId="77777777" w:rsidR="00982915" w:rsidRDefault="00982915">
            <w:pPr>
              <w:jc w:val="both"/>
              <w:rPr>
                <w:rFonts w:ascii="Arial" w:hAnsi="Arial" w:cs="Arial"/>
                <w:sz w:val="18"/>
                <w:szCs w:val="18"/>
              </w:rPr>
            </w:pPr>
          </w:p>
        </w:tc>
        <w:tc>
          <w:tcPr>
            <w:tcW w:w="1843" w:type="dxa"/>
            <w:tcBorders>
              <w:top w:val="single" w:sz="8" w:space="0" w:color="auto"/>
              <w:left w:val="single" w:sz="8" w:space="0" w:color="auto"/>
              <w:right w:val="single" w:sz="8" w:space="0" w:color="auto"/>
            </w:tcBorders>
            <w:vAlign w:val="center"/>
          </w:tcPr>
          <w:p w14:paraId="55C075C5" w14:textId="77777777" w:rsidR="00982915" w:rsidRDefault="00EB6F73">
            <w:pPr>
              <w:jc w:val="right"/>
              <w:rPr>
                <w:rFonts w:ascii="Arial" w:hAnsi="Arial" w:cs="Arial"/>
                <w:sz w:val="14"/>
                <w:szCs w:val="18"/>
              </w:rPr>
            </w:pPr>
            <w:r>
              <w:rPr>
                <w:rFonts w:ascii="Arial" w:hAnsi="Arial" w:cs="Arial"/>
                <w:sz w:val="14"/>
                <w:szCs w:val="18"/>
              </w:rPr>
              <w:t>Yen</w:t>
            </w:r>
          </w:p>
        </w:tc>
        <w:tc>
          <w:tcPr>
            <w:tcW w:w="1891" w:type="dxa"/>
            <w:tcBorders>
              <w:top w:val="single" w:sz="8" w:space="0" w:color="auto"/>
              <w:left w:val="single" w:sz="8" w:space="0" w:color="auto"/>
            </w:tcBorders>
            <w:vAlign w:val="center"/>
          </w:tcPr>
          <w:p w14:paraId="5372DAC9" w14:textId="77777777" w:rsidR="00982915" w:rsidRDefault="00EB6F73">
            <w:pPr>
              <w:jc w:val="right"/>
              <w:rPr>
                <w:rFonts w:ascii="Arial" w:hAnsi="Arial" w:cs="Arial"/>
                <w:sz w:val="14"/>
                <w:szCs w:val="18"/>
              </w:rPr>
            </w:pPr>
            <w:r>
              <w:rPr>
                <w:rFonts w:ascii="Arial" w:hAnsi="Arial" w:cs="Arial"/>
                <w:sz w:val="14"/>
                <w:szCs w:val="18"/>
              </w:rPr>
              <w:t>Yen</w:t>
            </w:r>
          </w:p>
        </w:tc>
      </w:tr>
      <w:tr w:rsidR="00982915" w14:paraId="10C94F16" w14:textId="77777777">
        <w:trPr>
          <w:trHeight w:val="209"/>
        </w:trPr>
        <w:tc>
          <w:tcPr>
            <w:tcW w:w="2835" w:type="dxa"/>
            <w:tcBorders>
              <w:right w:val="single" w:sz="8" w:space="0" w:color="auto"/>
            </w:tcBorders>
          </w:tcPr>
          <w:p w14:paraId="51AA80BB" w14:textId="77777777" w:rsidR="00982915" w:rsidRDefault="00EB6F73">
            <w:pPr>
              <w:jc w:val="both"/>
              <w:rPr>
                <w:rFonts w:ascii="Arial" w:hAnsi="Arial" w:cs="Arial"/>
                <w:sz w:val="18"/>
                <w:szCs w:val="18"/>
              </w:rPr>
            </w:pPr>
            <w:r>
              <w:rPr>
                <w:rFonts w:ascii="Arial" w:hAnsi="Arial" w:cs="Arial"/>
                <w:sz w:val="18"/>
                <w:szCs w:val="18"/>
              </w:rPr>
              <w:t>9 Months Ended Sept. 30, 2015</w:t>
            </w:r>
          </w:p>
        </w:tc>
        <w:tc>
          <w:tcPr>
            <w:tcW w:w="1843" w:type="dxa"/>
            <w:tcBorders>
              <w:left w:val="single" w:sz="8" w:space="0" w:color="auto"/>
              <w:right w:val="single" w:sz="8" w:space="0" w:color="auto"/>
            </w:tcBorders>
            <w:vAlign w:val="center"/>
          </w:tcPr>
          <w:p w14:paraId="15195E94" w14:textId="490073A9" w:rsidR="00982915" w:rsidRDefault="00982915">
            <w:pPr>
              <w:jc w:val="right"/>
              <w:rPr>
                <w:rFonts w:ascii="Arial" w:hAnsi="Arial" w:cs="Arial"/>
                <w:sz w:val="18"/>
                <w:szCs w:val="18"/>
              </w:rPr>
            </w:pPr>
          </w:p>
        </w:tc>
        <w:tc>
          <w:tcPr>
            <w:tcW w:w="1891" w:type="dxa"/>
            <w:tcBorders>
              <w:left w:val="single" w:sz="8" w:space="0" w:color="auto"/>
            </w:tcBorders>
            <w:vAlign w:val="center"/>
          </w:tcPr>
          <w:p w14:paraId="094E02AD" w14:textId="763BC78D" w:rsidR="00982915" w:rsidRDefault="00982915">
            <w:pPr>
              <w:jc w:val="right"/>
              <w:rPr>
                <w:rFonts w:ascii="Arial" w:hAnsi="Arial" w:cs="Arial"/>
                <w:sz w:val="18"/>
                <w:szCs w:val="18"/>
              </w:rPr>
            </w:pPr>
          </w:p>
        </w:tc>
      </w:tr>
      <w:tr w:rsidR="00982915" w14:paraId="31B0401D" w14:textId="77777777">
        <w:trPr>
          <w:trHeight w:val="209"/>
        </w:trPr>
        <w:tc>
          <w:tcPr>
            <w:tcW w:w="2835" w:type="dxa"/>
            <w:tcBorders>
              <w:right w:val="single" w:sz="8" w:space="0" w:color="auto"/>
            </w:tcBorders>
          </w:tcPr>
          <w:p w14:paraId="15EBC73A" w14:textId="77777777" w:rsidR="00982915" w:rsidRDefault="00EB6F73">
            <w:pPr>
              <w:jc w:val="both"/>
              <w:rPr>
                <w:rFonts w:ascii="Arial" w:hAnsi="Arial" w:cs="Arial"/>
                <w:sz w:val="18"/>
                <w:szCs w:val="18"/>
              </w:rPr>
            </w:pPr>
            <w:r>
              <w:rPr>
                <w:rFonts w:ascii="Arial" w:hAnsi="Arial" w:cs="Arial"/>
                <w:sz w:val="18"/>
                <w:szCs w:val="18"/>
              </w:rPr>
              <w:t>9 Months Ended Sept. 30, 2014</w:t>
            </w:r>
          </w:p>
        </w:tc>
        <w:tc>
          <w:tcPr>
            <w:tcW w:w="1843" w:type="dxa"/>
            <w:tcBorders>
              <w:left w:val="single" w:sz="8" w:space="0" w:color="auto"/>
              <w:right w:val="single" w:sz="8" w:space="0" w:color="auto"/>
            </w:tcBorders>
            <w:vAlign w:val="center"/>
          </w:tcPr>
          <w:p w14:paraId="1146B372" w14:textId="046324D3" w:rsidR="00982915" w:rsidRDefault="00982915">
            <w:pPr>
              <w:jc w:val="right"/>
              <w:rPr>
                <w:rFonts w:ascii="Arial" w:hAnsi="Arial" w:cs="Arial"/>
                <w:sz w:val="18"/>
                <w:szCs w:val="18"/>
              </w:rPr>
            </w:pPr>
          </w:p>
        </w:tc>
        <w:tc>
          <w:tcPr>
            <w:tcW w:w="1891" w:type="dxa"/>
            <w:tcBorders>
              <w:left w:val="single" w:sz="8" w:space="0" w:color="auto"/>
            </w:tcBorders>
            <w:vAlign w:val="center"/>
          </w:tcPr>
          <w:p w14:paraId="605ED8CE" w14:textId="025B1F85" w:rsidR="00982915" w:rsidRDefault="00982915">
            <w:pPr>
              <w:jc w:val="right"/>
              <w:rPr>
                <w:rFonts w:ascii="Arial" w:hAnsi="Arial" w:cs="Arial"/>
                <w:sz w:val="18"/>
                <w:szCs w:val="18"/>
              </w:rPr>
            </w:pPr>
          </w:p>
        </w:tc>
      </w:tr>
    </w:tbl>
    <w:p w14:paraId="519853E1" w14:textId="381812A7" w:rsidR="00982915" w:rsidRDefault="00EB6F73">
      <w:pPr>
        <w:spacing w:after="0" w:line="240" w:lineRule="auto"/>
        <w:ind w:left="720" w:hanging="720"/>
        <w:rPr>
          <w:rFonts w:ascii="Arial" w:hAnsi="Arial" w:cs="Arial"/>
          <w:sz w:val="18"/>
          <w:szCs w:val="20"/>
        </w:rPr>
      </w:pPr>
      <w:r>
        <w:rPr>
          <w:rFonts w:ascii="Arial" w:hAnsi="Arial" w:cs="Arial"/>
          <w:sz w:val="18"/>
          <w:szCs w:val="20"/>
        </w:rPr>
        <w:t>(Notes)</w:t>
      </w:r>
      <w:r>
        <w:rPr>
          <w:rFonts w:ascii="Arial" w:hAnsi="Arial" w:cs="Arial"/>
          <w:sz w:val="18"/>
          <w:szCs w:val="20"/>
        </w:rPr>
        <w:tab/>
        <w:t xml:space="preserve">1. On June </w:t>
      </w:r>
      <w:r w:rsidR="00491326">
        <w:rPr>
          <w:rFonts w:ascii="Arial" w:hAnsi="Arial" w:cs="Arial"/>
          <w:sz w:val="18"/>
          <w:szCs w:val="20"/>
        </w:rPr>
        <w:t>DD</w:t>
      </w:r>
      <w:r>
        <w:rPr>
          <w:rFonts w:ascii="Arial" w:hAnsi="Arial" w:cs="Arial"/>
          <w:sz w:val="18"/>
          <w:szCs w:val="20"/>
        </w:rPr>
        <w:t>, 2014, the Company conducted a 3-for-1 split of common shares. Net quarterly income per share and diluted net quarterly income per share here are calculated as if the stock split had occurred at the beginning of previous consolidated fiscal year.</w:t>
      </w:r>
    </w:p>
    <w:p w14:paraId="5BD6B32E" w14:textId="77777777" w:rsidR="00982915" w:rsidRDefault="00EB6F73">
      <w:pPr>
        <w:spacing w:after="0" w:line="240" w:lineRule="auto"/>
        <w:ind w:left="720"/>
        <w:rPr>
          <w:rFonts w:ascii="Arial" w:hAnsi="Arial" w:cs="Arial"/>
          <w:sz w:val="18"/>
          <w:szCs w:val="20"/>
        </w:rPr>
      </w:pPr>
      <w:r>
        <w:rPr>
          <w:rFonts w:ascii="Arial" w:hAnsi="Arial" w:cs="Arial"/>
          <w:sz w:val="18"/>
          <w:szCs w:val="20"/>
        </w:rPr>
        <w:t>2. The figures have been retroactively adjusted in accordance with changes in accounting principles in the nine months ended Sept. 30, 2014.</w:t>
      </w:r>
    </w:p>
    <w:p w14:paraId="56A4E0BF" w14:textId="77777777" w:rsidR="00982915" w:rsidRDefault="00982915">
      <w:pPr>
        <w:spacing w:after="0" w:line="240" w:lineRule="auto"/>
        <w:jc w:val="both"/>
        <w:rPr>
          <w:rFonts w:ascii="Arial" w:hAnsi="Arial" w:cs="Arial"/>
          <w:sz w:val="21"/>
          <w:szCs w:val="21"/>
        </w:rPr>
      </w:pPr>
    </w:p>
    <w:p w14:paraId="0E4EF4F4" w14:textId="77777777" w:rsidR="00982915" w:rsidRDefault="00EB6F73">
      <w:pPr>
        <w:spacing w:after="0" w:line="240" w:lineRule="auto"/>
        <w:jc w:val="both"/>
        <w:rPr>
          <w:rFonts w:ascii="Arial" w:hAnsi="Arial" w:cs="Arial"/>
          <w:b/>
          <w:bCs/>
          <w:sz w:val="21"/>
          <w:szCs w:val="20"/>
        </w:rPr>
      </w:pPr>
      <w:r>
        <w:rPr>
          <w:rFonts w:ascii="Arial" w:hAnsi="Arial" w:cs="Arial"/>
          <w:b/>
          <w:bCs/>
          <w:sz w:val="21"/>
          <w:szCs w:val="20"/>
        </w:rPr>
        <w:t>(2) Consolidated financial condition</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35"/>
        <w:gridCol w:w="1878"/>
        <w:gridCol w:w="1878"/>
        <w:gridCol w:w="1878"/>
      </w:tblGrid>
      <w:tr w:rsidR="00982915" w14:paraId="071A5B16" w14:textId="77777777">
        <w:trPr>
          <w:trHeight w:val="234"/>
        </w:trPr>
        <w:tc>
          <w:tcPr>
            <w:tcW w:w="2835" w:type="dxa"/>
            <w:tcBorders>
              <w:bottom w:val="single" w:sz="8" w:space="0" w:color="auto"/>
              <w:right w:val="single" w:sz="8" w:space="0" w:color="auto"/>
            </w:tcBorders>
          </w:tcPr>
          <w:p w14:paraId="0617E7E5" w14:textId="77777777" w:rsidR="00982915" w:rsidRDefault="00982915">
            <w:pPr>
              <w:jc w:val="both"/>
              <w:rPr>
                <w:rFonts w:ascii="Arial" w:hAnsi="Arial" w:cs="Arial"/>
                <w:sz w:val="18"/>
                <w:szCs w:val="18"/>
              </w:rPr>
            </w:pPr>
          </w:p>
        </w:tc>
        <w:tc>
          <w:tcPr>
            <w:tcW w:w="1878" w:type="dxa"/>
            <w:tcBorders>
              <w:left w:val="single" w:sz="8" w:space="0" w:color="auto"/>
              <w:bottom w:val="single" w:sz="8" w:space="0" w:color="auto"/>
              <w:right w:val="single" w:sz="8" w:space="0" w:color="auto"/>
            </w:tcBorders>
            <w:vAlign w:val="center"/>
          </w:tcPr>
          <w:p w14:paraId="5E27F8F5" w14:textId="77777777" w:rsidR="00982915" w:rsidRDefault="00EB6F73">
            <w:pPr>
              <w:jc w:val="center"/>
              <w:rPr>
                <w:rFonts w:ascii="Arial" w:hAnsi="Arial" w:cs="Arial"/>
                <w:sz w:val="18"/>
                <w:szCs w:val="18"/>
              </w:rPr>
            </w:pPr>
            <w:r>
              <w:rPr>
                <w:rFonts w:ascii="Arial" w:hAnsi="Arial" w:cs="Arial"/>
                <w:sz w:val="18"/>
                <w:szCs w:val="18"/>
              </w:rPr>
              <w:t>Total assets</w:t>
            </w:r>
          </w:p>
        </w:tc>
        <w:tc>
          <w:tcPr>
            <w:tcW w:w="1878" w:type="dxa"/>
            <w:tcBorders>
              <w:left w:val="single" w:sz="8" w:space="0" w:color="auto"/>
              <w:bottom w:val="single" w:sz="8" w:space="0" w:color="auto"/>
              <w:right w:val="single" w:sz="8" w:space="0" w:color="auto"/>
            </w:tcBorders>
            <w:vAlign w:val="center"/>
          </w:tcPr>
          <w:p w14:paraId="3E86B4C2" w14:textId="77777777" w:rsidR="00982915" w:rsidRDefault="00EB6F73">
            <w:pPr>
              <w:jc w:val="center"/>
              <w:rPr>
                <w:rFonts w:ascii="Arial" w:hAnsi="Arial" w:cs="Arial"/>
                <w:sz w:val="18"/>
                <w:szCs w:val="18"/>
              </w:rPr>
            </w:pPr>
            <w:r>
              <w:rPr>
                <w:rFonts w:ascii="Arial" w:hAnsi="Arial" w:cs="Arial"/>
                <w:sz w:val="18"/>
                <w:szCs w:val="18"/>
              </w:rPr>
              <w:t>Net assets</w:t>
            </w:r>
          </w:p>
        </w:tc>
        <w:tc>
          <w:tcPr>
            <w:tcW w:w="1878" w:type="dxa"/>
            <w:tcBorders>
              <w:left w:val="single" w:sz="8" w:space="0" w:color="auto"/>
              <w:bottom w:val="single" w:sz="8" w:space="0" w:color="auto"/>
            </w:tcBorders>
            <w:vAlign w:val="center"/>
          </w:tcPr>
          <w:p w14:paraId="50D14394" w14:textId="77777777" w:rsidR="00982915" w:rsidRDefault="00EB6F73">
            <w:pPr>
              <w:jc w:val="center"/>
              <w:rPr>
                <w:rFonts w:ascii="Arial" w:hAnsi="Arial" w:cs="Arial"/>
                <w:sz w:val="18"/>
                <w:szCs w:val="18"/>
              </w:rPr>
            </w:pPr>
            <w:r>
              <w:rPr>
                <w:rFonts w:ascii="Arial" w:hAnsi="Arial" w:cs="Arial"/>
                <w:sz w:val="18"/>
                <w:szCs w:val="18"/>
              </w:rPr>
              <w:t>Equity ratio</w:t>
            </w:r>
          </w:p>
        </w:tc>
      </w:tr>
      <w:tr w:rsidR="00982915" w14:paraId="2BD315E6" w14:textId="77777777">
        <w:trPr>
          <w:trHeight w:val="234"/>
        </w:trPr>
        <w:tc>
          <w:tcPr>
            <w:tcW w:w="2835" w:type="dxa"/>
            <w:tcBorders>
              <w:top w:val="single" w:sz="8" w:space="0" w:color="auto"/>
              <w:right w:val="single" w:sz="8" w:space="0" w:color="auto"/>
            </w:tcBorders>
          </w:tcPr>
          <w:p w14:paraId="19251810" w14:textId="77777777" w:rsidR="00982915" w:rsidRDefault="00982915">
            <w:pPr>
              <w:jc w:val="both"/>
              <w:rPr>
                <w:rFonts w:ascii="Arial" w:hAnsi="Arial" w:cs="Arial"/>
                <w:sz w:val="18"/>
                <w:szCs w:val="18"/>
              </w:rPr>
            </w:pPr>
          </w:p>
        </w:tc>
        <w:tc>
          <w:tcPr>
            <w:tcW w:w="1878" w:type="dxa"/>
            <w:tcBorders>
              <w:top w:val="single" w:sz="8" w:space="0" w:color="auto"/>
              <w:left w:val="single" w:sz="8" w:space="0" w:color="auto"/>
              <w:right w:val="single" w:sz="8" w:space="0" w:color="auto"/>
            </w:tcBorders>
            <w:vAlign w:val="center"/>
          </w:tcPr>
          <w:p w14:paraId="3F18D2B6" w14:textId="77777777" w:rsidR="00982915" w:rsidRDefault="00EB6F73">
            <w:pPr>
              <w:jc w:val="right"/>
              <w:rPr>
                <w:rFonts w:ascii="Arial" w:hAnsi="Arial" w:cs="Arial"/>
                <w:sz w:val="14"/>
                <w:szCs w:val="18"/>
              </w:rPr>
            </w:pPr>
            <w:r>
              <w:rPr>
                <w:rFonts w:ascii="Arial" w:hAnsi="Arial" w:cs="Arial"/>
                <w:sz w:val="14"/>
                <w:szCs w:val="18"/>
              </w:rPr>
              <w:t>Million yen</w:t>
            </w:r>
          </w:p>
        </w:tc>
        <w:tc>
          <w:tcPr>
            <w:tcW w:w="1878" w:type="dxa"/>
            <w:tcBorders>
              <w:top w:val="single" w:sz="8" w:space="0" w:color="auto"/>
              <w:left w:val="single" w:sz="8" w:space="0" w:color="auto"/>
              <w:right w:val="single" w:sz="8" w:space="0" w:color="auto"/>
            </w:tcBorders>
            <w:vAlign w:val="center"/>
          </w:tcPr>
          <w:p w14:paraId="36587319" w14:textId="77777777" w:rsidR="00982915" w:rsidRDefault="00EB6F73">
            <w:pPr>
              <w:jc w:val="right"/>
              <w:rPr>
                <w:rFonts w:ascii="Arial" w:hAnsi="Arial" w:cs="Arial"/>
                <w:sz w:val="14"/>
                <w:szCs w:val="18"/>
              </w:rPr>
            </w:pPr>
            <w:r>
              <w:rPr>
                <w:rFonts w:ascii="Arial" w:hAnsi="Arial" w:cs="Arial"/>
                <w:sz w:val="14"/>
                <w:szCs w:val="18"/>
              </w:rPr>
              <w:t>Million yen</w:t>
            </w:r>
          </w:p>
        </w:tc>
        <w:tc>
          <w:tcPr>
            <w:tcW w:w="1878" w:type="dxa"/>
            <w:tcBorders>
              <w:top w:val="single" w:sz="8" w:space="0" w:color="auto"/>
              <w:left w:val="single" w:sz="8" w:space="0" w:color="auto"/>
            </w:tcBorders>
            <w:vAlign w:val="center"/>
          </w:tcPr>
          <w:p w14:paraId="7A445DE5" w14:textId="77777777" w:rsidR="00982915" w:rsidRDefault="00EB6F73">
            <w:pPr>
              <w:jc w:val="right"/>
              <w:rPr>
                <w:rFonts w:ascii="Arial" w:hAnsi="Arial" w:cs="Arial"/>
                <w:sz w:val="14"/>
                <w:szCs w:val="18"/>
              </w:rPr>
            </w:pPr>
            <w:r>
              <w:rPr>
                <w:rFonts w:ascii="Arial" w:hAnsi="Arial" w:cs="Arial"/>
                <w:sz w:val="14"/>
                <w:szCs w:val="18"/>
              </w:rPr>
              <w:t>%</w:t>
            </w:r>
          </w:p>
        </w:tc>
      </w:tr>
      <w:tr w:rsidR="00982915" w14:paraId="1B7F995D" w14:textId="77777777">
        <w:trPr>
          <w:trHeight w:val="234"/>
        </w:trPr>
        <w:tc>
          <w:tcPr>
            <w:tcW w:w="2835" w:type="dxa"/>
            <w:tcBorders>
              <w:right w:val="single" w:sz="8" w:space="0" w:color="auto"/>
            </w:tcBorders>
          </w:tcPr>
          <w:p w14:paraId="5BFBEE32" w14:textId="77777777" w:rsidR="00982915" w:rsidRDefault="00EB6F73">
            <w:pPr>
              <w:jc w:val="both"/>
              <w:rPr>
                <w:rFonts w:ascii="Arial" w:hAnsi="Arial" w:cs="Arial"/>
                <w:sz w:val="18"/>
                <w:szCs w:val="18"/>
              </w:rPr>
            </w:pPr>
            <w:r>
              <w:rPr>
                <w:rFonts w:ascii="Arial" w:hAnsi="Arial" w:cs="Arial"/>
                <w:sz w:val="18"/>
                <w:szCs w:val="18"/>
              </w:rPr>
              <w:t>9 Months Ended Sept. 30, 2015</w:t>
            </w:r>
          </w:p>
        </w:tc>
        <w:tc>
          <w:tcPr>
            <w:tcW w:w="1878" w:type="dxa"/>
            <w:tcBorders>
              <w:left w:val="single" w:sz="8" w:space="0" w:color="auto"/>
              <w:right w:val="single" w:sz="8" w:space="0" w:color="auto"/>
            </w:tcBorders>
            <w:vAlign w:val="center"/>
          </w:tcPr>
          <w:p w14:paraId="6AEDE59A" w14:textId="3508B322" w:rsidR="00982915" w:rsidRDefault="00982915">
            <w:pPr>
              <w:jc w:val="right"/>
              <w:rPr>
                <w:rFonts w:ascii="Arial" w:hAnsi="Arial" w:cs="Arial"/>
                <w:sz w:val="18"/>
                <w:szCs w:val="18"/>
              </w:rPr>
            </w:pPr>
          </w:p>
        </w:tc>
        <w:tc>
          <w:tcPr>
            <w:tcW w:w="1878" w:type="dxa"/>
            <w:tcBorders>
              <w:left w:val="single" w:sz="8" w:space="0" w:color="auto"/>
              <w:right w:val="single" w:sz="8" w:space="0" w:color="auto"/>
            </w:tcBorders>
            <w:vAlign w:val="center"/>
          </w:tcPr>
          <w:p w14:paraId="438E454C" w14:textId="2926F586" w:rsidR="00982915" w:rsidRDefault="00982915">
            <w:pPr>
              <w:jc w:val="right"/>
              <w:rPr>
                <w:rFonts w:ascii="Arial" w:hAnsi="Arial" w:cs="Arial"/>
                <w:sz w:val="18"/>
                <w:szCs w:val="18"/>
              </w:rPr>
            </w:pPr>
          </w:p>
        </w:tc>
        <w:tc>
          <w:tcPr>
            <w:tcW w:w="1878" w:type="dxa"/>
            <w:tcBorders>
              <w:left w:val="single" w:sz="8" w:space="0" w:color="auto"/>
            </w:tcBorders>
            <w:vAlign w:val="center"/>
          </w:tcPr>
          <w:p w14:paraId="4405544B" w14:textId="4950C0FA" w:rsidR="00982915" w:rsidRDefault="00982915">
            <w:pPr>
              <w:jc w:val="right"/>
              <w:rPr>
                <w:rFonts w:ascii="Arial" w:hAnsi="Arial" w:cs="Arial"/>
                <w:sz w:val="18"/>
                <w:szCs w:val="18"/>
              </w:rPr>
            </w:pPr>
          </w:p>
        </w:tc>
      </w:tr>
      <w:tr w:rsidR="00982915" w14:paraId="0626AD87" w14:textId="77777777">
        <w:trPr>
          <w:trHeight w:val="234"/>
        </w:trPr>
        <w:tc>
          <w:tcPr>
            <w:tcW w:w="2835" w:type="dxa"/>
            <w:tcBorders>
              <w:right w:val="single" w:sz="8" w:space="0" w:color="auto"/>
            </w:tcBorders>
          </w:tcPr>
          <w:p w14:paraId="092B4FA4" w14:textId="77777777" w:rsidR="00982915" w:rsidRDefault="00EB6F73">
            <w:pPr>
              <w:jc w:val="both"/>
              <w:rPr>
                <w:rFonts w:ascii="Arial" w:hAnsi="Arial" w:cs="Arial"/>
                <w:sz w:val="18"/>
                <w:szCs w:val="18"/>
              </w:rPr>
            </w:pPr>
            <w:r>
              <w:rPr>
                <w:rFonts w:ascii="Arial" w:hAnsi="Arial" w:cs="Arial"/>
                <w:sz w:val="18"/>
                <w:szCs w:val="18"/>
              </w:rPr>
              <w:t xml:space="preserve">FY2014 </w:t>
            </w:r>
          </w:p>
        </w:tc>
        <w:tc>
          <w:tcPr>
            <w:tcW w:w="1878" w:type="dxa"/>
            <w:tcBorders>
              <w:left w:val="single" w:sz="8" w:space="0" w:color="auto"/>
              <w:right w:val="single" w:sz="8" w:space="0" w:color="auto"/>
            </w:tcBorders>
            <w:vAlign w:val="center"/>
          </w:tcPr>
          <w:p w14:paraId="5D9B0BA9" w14:textId="72F9F6E5" w:rsidR="00982915" w:rsidRDefault="00982915">
            <w:pPr>
              <w:jc w:val="right"/>
              <w:rPr>
                <w:rFonts w:ascii="Arial" w:hAnsi="Arial" w:cs="Arial"/>
                <w:sz w:val="18"/>
                <w:szCs w:val="18"/>
              </w:rPr>
            </w:pPr>
          </w:p>
        </w:tc>
        <w:tc>
          <w:tcPr>
            <w:tcW w:w="1878" w:type="dxa"/>
            <w:tcBorders>
              <w:left w:val="single" w:sz="8" w:space="0" w:color="auto"/>
              <w:right w:val="single" w:sz="8" w:space="0" w:color="auto"/>
            </w:tcBorders>
            <w:vAlign w:val="center"/>
          </w:tcPr>
          <w:p w14:paraId="201B3E5E" w14:textId="0A2B26AD" w:rsidR="00982915" w:rsidRDefault="00982915">
            <w:pPr>
              <w:jc w:val="right"/>
              <w:rPr>
                <w:rFonts w:ascii="Arial" w:hAnsi="Arial" w:cs="Arial"/>
                <w:sz w:val="18"/>
                <w:szCs w:val="18"/>
              </w:rPr>
            </w:pPr>
          </w:p>
        </w:tc>
        <w:tc>
          <w:tcPr>
            <w:tcW w:w="1878" w:type="dxa"/>
            <w:tcBorders>
              <w:left w:val="single" w:sz="8" w:space="0" w:color="auto"/>
            </w:tcBorders>
            <w:vAlign w:val="center"/>
          </w:tcPr>
          <w:p w14:paraId="50346C2C" w14:textId="35CDC694" w:rsidR="00982915" w:rsidRDefault="00982915">
            <w:pPr>
              <w:jc w:val="right"/>
              <w:rPr>
                <w:rFonts w:ascii="Arial" w:hAnsi="Arial" w:cs="Arial"/>
                <w:sz w:val="18"/>
                <w:szCs w:val="18"/>
              </w:rPr>
            </w:pPr>
          </w:p>
        </w:tc>
      </w:tr>
    </w:tbl>
    <w:p w14:paraId="14DBC9D8" w14:textId="77777777" w:rsidR="00982915" w:rsidRDefault="00EB6F73">
      <w:pPr>
        <w:spacing w:after="0" w:line="240" w:lineRule="auto"/>
        <w:ind w:left="1440" w:hanging="1440"/>
        <w:rPr>
          <w:rFonts w:ascii="Arial" w:hAnsi="Arial" w:cs="Arial"/>
          <w:sz w:val="18"/>
          <w:szCs w:val="20"/>
        </w:rPr>
      </w:pPr>
      <w:r>
        <w:rPr>
          <w:rFonts w:ascii="Arial" w:hAnsi="Arial" w:cs="Arial"/>
          <w:sz w:val="18"/>
          <w:szCs w:val="20"/>
        </w:rPr>
        <w:t xml:space="preserve">(Reference) Shareholders’ equity </w:t>
      </w:r>
    </w:p>
    <w:p w14:paraId="4EDB26FB" w14:textId="6BFD8F59" w:rsidR="00982915" w:rsidRDefault="00EB6F73">
      <w:pPr>
        <w:spacing w:after="0" w:line="240" w:lineRule="auto"/>
        <w:ind w:leftChars="50" w:left="110" w:firstLineChars="500" w:firstLine="900"/>
        <w:rPr>
          <w:rFonts w:ascii="Arial" w:hAnsi="Arial" w:cs="Arial"/>
          <w:sz w:val="18"/>
          <w:szCs w:val="20"/>
        </w:rPr>
      </w:pPr>
      <w:r>
        <w:rPr>
          <w:rFonts w:ascii="Arial" w:hAnsi="Arial" w:cs="Arial"/>
          <w:sz w:val="18"/>
          <w:szCs w:val="20"/>
        </w:rPr>
        <w:t xml:space="preserve">9 Months Ended Sept. 30, 2015: </w:t>
      </w:r>
      <w:proofErr w:type="spellStart"/>
      <w:r w:rsidR="00324087">
        <w:rPr>
          <w:rFonts w:ascii="Arial" w:hAnsi="Arial" w:hint="eastAsia"/>
          <w:sz w:val="18"/>
          <w:szCs w:val="20"/>
        </w:rPr>
        <w:t>X</w:t>
      </w:r>
      <w:r w:rsidR="00324087">
        <w:rPr>
          <w:rFonts w:ascii="Arial" w:hAnsi="Arial"/>
          <w:sz w:val="18"/>
          <w:szCs w:val="20"/>
        </w:rPr>
        <w:t>X</w:t>
      </w:r>
      <w:r>
        <w:rPr>
          <w:rFonts w:ascii="Arial" w:hAnsi="Arial" w:cs="Arial"/>
          <w:sz w:val="18"/>
          <w:szCs w:val="20"/>
        </w:rPr>
        <w:t>,</w:t>
      </w:r>
      <w:r w:rsidR="00324087">
        <w:rPr>
          <w:rFonts w:ascii="Arial" w:hAnsi="Arial" w:cs="Arial"/>
          <w:sz w:val="18"/>
          <w:szCs w:val="20"/>
        </w:rPr>
        <w:t>XXX</w:t>
      </w:r>
      <w:proofErr w:type="spellEnd"/>
      <w:r>
        <w:rPr>
          <w:rFonts w:ascii="Arial" w:hAnsi="Arial" w:cs="Arial"/>
          <w:sz w:val="18"/>
          <w:szCs w:val="20"/>
        </w:rPr>
        <w:t xml:space="preserve"> million yen; FY2014: </w:t>
      </w:r>
      <w:proofErr w:type="spellStart"/>
      <w:r w:rsidR="00324087">
        <w:rPr>
          <w:rFonts w:ascii="Arial" w:hAnsi="Arial" w:cs="Arial"/>
          <w:sz w:val="18"/>
          <w:szCs w:val="20"/>
        </w:rPr>
        <w:t>XX</w:t>
      </w:r>
      <w:r>
        <w:rPr>
          <w:rFonts w:ascii="Arial" w:hAnsi="Arial" w:cs="Arial"/>
          <w:sz w:val="18"/>
          <w:szCs w:val="20"/>
        </w:rPr>
        <w:t>,</w:t>
      </w:r>
      <w:r w:rsidR="00324087">
        <w:rPr>
          <w:rFonts w:ascii="Arial" w:hAnsi="Arial" w:cs="Arial"/>
          <w:sz w:val="18"/>
          <w:szCs w:val="20"/>
        </w:rPr>
        <w:t>XXX</w:t>
      </w:r>
      <w:proofErr w:type="spellEnd"/>
      <w:r>
        <w:rPr>
          <w:rFonts w:ascii="Arial" w:hAnsi="Arial" w:cs="Arial"/>
          <w:sz w:val="18"/>
          <w:szCs w:val="20"/>
        </w:rPr>
        <w:t xml:space="preserve"> million yen</w:t>
      </w:r>
    </w:p>
    <w:p w14:paraId="487337E9" w14:textId="77777777" w:rsidR="00982915" w:rsidRDefault="00EB6F73">
      <w:pPr>
        <w:spacing w:after="0" w:line="240" w:lineRule="auto"/>
        <w:ind w:left="720" w:hanging="720"/>
        <w:rPr>
          <w:rFonts w:ascii="Arial" w:hAnsi="Arial" w:cs="Arial"/>
          <w:sz w:val="18"/>
          <w:szCs w:val="20"/>
        </w:rPr>
      </w:pPr>
      <w:r>
        <w:rPr>
          <w:rFonts w:ascii="Arial" w:hAnsi="Arial" w:cs="Arial"/>
          <w:sz w:val="18"/>
          <w:szCs w:val="20"/>
        </w:rPr>
        <w:t>(Note)</w:t>
      </w:r>
      <w:r>
        <w:rPr>
          <w:rFonts w:ascii="Arial" w:hAnsi="Arial" w:cs="Arial"/>
          <w:sz w:val="18"/>
          <w:szCs w:val="20"/>
        </w:rPr>
        <w:tab/>
        <w:t>The figures have been retroactively adjusted in accordance with changes in accounting principles for the year ended December 31, 2014.</w:t>
      </w:r>
    </w:p>
    <w:p w14:paraId="0734BF7D" w14:textId="77777777" w:rsidR="00982915" w:rsidRDefault="00982915">
      <w:pPr>
        <w:spacing w:after="0" w:line="240" w:lineRule="auto"/>
        <w:jc w:val="both"/>
        <w:rPr>
          <w:rFonts w:ascii="Arial" w:hAnsi="Arial" w:cs="Arial"/>
          <w:sz w:val="20"/>
          <w:szCs w:val="20"/>
        </w:rPr>
      </w:pPr>
    </w:p>
    <w:p w14:paraId="0DA2C9B9" w14:textId="77777777" w:rsidR="00982915" w:rsidRDefault="00EB6F73">
      <w:pPr>
        <w:spacing w:after="0" w:line="240" w:lineRule="auto"/>
        <w:jc w:val="both"/>
        <w:rPr>
          <w:rFonts w:ascii="Arial" w:hAnsi="Arial" w:cs="Arial"/>
          <w:b/>
          <w:bCs/>
          <w:sz w:val="21"/>
          <w:szCs w:val="20"/>
        </w:rPr>
      </w:pPr>
      <w:r>
        <w:rPr>
          <w:rFonts w:ascii="Arial" w:hAnsi="Arial" w:cs="Arial"/>
          <w:b/>
          <w:bCs/>
          <w:sz w:val="21"/>
          <w:szCs w:val="20"/>
        </w:rPr>
        <w:t>2. Dividend Status</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85"/>
        <w:gridCol w:w="1648"/>
        <w:gridCol w:w="1648"/>
        <w:gridCol w:w="1648"/>
        <w:gridCol w:w="1648"/>
        <w:gridCol w:w="1654"/>
      </w:tblGrid>
      <w:tr w:rsidR="00982915" w14:paraId="08EF86F0" w14:textId="77777777">
        <w:trPr>
          <w:trHeight w:val="212"/>
        </w:trPr>
        <w:tc>
          <w:tcPr>
            <w:tcW w:w="2085" w:type="dxa"/>
            <w:tcBorders>
              <w:top w:val="single" w:sz="12" w:space="0" w:color="auto"/>
              <w:bottom w:val="single" w:sz="8" w:space="0" w:color="auto"/>
              <w:right w:val="single" w:sz="8" w:space="0" w:color="auto"/>
              <w:tl2br w:val="single" w:sz="8" w:space="0" w:color="auto"/>
            </w:tcBorders>
            <w:vAlign w:val="center"/>
          </w:tcPr>
          <w:p w14:paraId="3921713C" w14:textId="77777777" w:rsidR="00982915" w:rsidRDefault="00982915">
            <w:pPr>
              <w:jc w:val="center"/>
              <w:rPr>
                <w:rFonts w:ascii="Arial" w:hAnsi="Arial" w:cs="Arial"/>
                <w:sz w:val="18"/>
                <w:szCs w:val="18"/>
              </w:rPr>
            </w:pPr>
          </w:p>
        </w:tc>
        <w:tc>
          <w:tcPr>
            <w:tcW w:w="8246" w:type="dxa"/>
            <w:gridSpan w:val="5"/>
            <w:tcBorders>
              <w:left w:val="single" w:sz="8" w:space="0" w:color="auto"/>
            </w:tcBorders>
            <w:vAlign w:val="center"/>
          </w:tcPr>
          <w:p w14:paraId="5301D905" w14:textId="77777777" w:rsidR="00982915" w:rsidRDefault="00EB6F73">
            <w:pPr>
              <w:jc w:val="center"/>
              <w:rPr>
                <w:rFonts w:ascii="Arial" w:hAnsi="Arial" w:cs="Arial"/>
                <w:sz w:val="18"/>
                <w:szCs w:val="18"/>
              </w:rPr>
            </w:pPr>
            <w:r>
              <w:rPr>
                <w:rFonts w:ascii="Arial" w:hAnsi="Arial" w:cs="Arial"/>
                <w:sz w:val="18"/>
                <w:szCs w:val="18"/>
              </w:rPr>
              <w:t>Dividend per share (yen)</w:t>
            </w:r>
          </w:p>
        </w:tc>
      </w:tr>
      <w:tr w:rsidR="00982915" w14:paraId="3490F459" w14:textId="77777777">
        <w:trPr>
          <w:trHeight w:val="229"/>
        </w:trPr>
        <w:tc>
          <w:tcPr>
            <w:tcW w:w="2085" w:type="dxa"/>
            <w:tcBorders>
              <w:top w:val="single" w:sz="8" w:space="0" w:color="auto"/>
              <w:bottom w:val="single" w:sz="8" w:space="0" w:color="auto"/>
              <w:right w:val="single" w:sz="8" w:space="0" w:color="auto"/>
            </w:tcBorders>
            <w:vAlign w:val="center"/>
          </w:tcPr>
          <w:p w14:paraId="68184ACD" w14:textId="77777777" w:rsidR="00982915" w:rsidRDefault="00EB6F73">
            <w:pPr>
              <w:jc w:val="center"/>
              <w:rPr>
                <w:rFonts w:ascii="Arial" w:hAnsi="Arial" w:cs="Arial"/>
                <w:sz w:val="18"/>
                <w:szCs w:val="18"/>
              </w:rPr>
            </w:pPr>
            <w:r>
              <w:rPr>
                <w:rFonts w:ascii="Arial" w:hAnsi="Arial" w:cs="Arial"/>
                <w:sz w:val="18"/>
                <w:szCs w:val="18"/>
              </w:rPr>
              <w:t>(Base date)</w:t>
            </w:r>
          </w:p>
        </w:tc>
        <w:tc>
          <w:tcPr>
            <w:tcW w:w="1648" w:type="dxa"/>
            <w:tcBorders>
              <w:top w:val="single" w:sz="8" w:space="0" w:color="auto"/>
              <w:left w:val="single" w:sz="8" w:space="0" w:color="auto"/>
              <w:bottom w:val="single" w:sz="8" w:space="0" w:color="auto"/>
              <w:right w:val="single" w:sz="8" w:space="0" w:color="auto"/>
            </w:tcBorders>
            <w:vAlign w:val="center"/>
          </w:tcPr>
          <w:p w14:paraId="06FA7B5C" w14:textId="77777777" w:rsidR="00982915" w:rsidRDefault="00EB6F73">
            <w:pPr>
              <w:jc w:val="center"/>
              <w:rPr>
                <w:rFonts w:ascii="Arial" w:hAnsi="Arial" w:cs="Arial"/>
                <w:sz w:val="18"/>
                <w:szCs w:val="18"/>
              </w:rPr>
            </w:pPr>
            <w:r>
              <w:rPr>
                <w:rFonts w:ascii="Arial" w:hAnsi="Arial" w:cs="Arial"/>
                <w:sz w:val="18"/>
                <w:szCs w:val="18"/>
              </w:rPr>
              <w:t>End of Q1</w:t>
            </w:r>
          </w:p>
        </w:tc>
        <w:tc>
          <w:tcPr>
            <w:tcW w:w="1648" w:type="dxa"/>
            <w:tcBorders>
              <w:top w:val="single" w:sz="8" w:space="0" w:color="auto"/>
              <w:left w:val="single" w:sz="8" w:space="0" w:color="auto"/>
              <w:bottom w:val="single" w:sz="8" w:space="0" w:color="auto"/>
              <w:right w:val="single" w:sz="8" w:space="0" w:color="auto"/>
            </w:tcBorders>
            <w:vAlign w:val="center"/>
          </w:tcPr>
          <w:p w14:paraId="525B2694" w14:textId="77777777" w:rsidR="00982915" w:rsidRDefault="00EB6F73">
            <w:pPr>
              <w:jc w:val="center"/>
              <w:rPr>
                <w:rFonts w:ascii="Arial" w:hAnsi="Arial" w:cs="Arial"/>
                <w:sz w:val="18"/>
                <w:szCs w:val="18"/>
              </w:rPr>
            </w:pPr>
            <w:r>
              <w:rPr>
                <w:rFonts w:ascii="Arial" w:hAnsi="Arial" w:cs="Arial"/>
                <w:sz w:val="18"/>
                <w:szCs w:val="18"/>
              </w:rPr>
              <w:t>End of Q2</w:t>
            </w:r>
          </w:p>
        </w:tc>
        <w:tc>
          <w:tcPr>
            <w:tcW w:w="1648" w:type="dxa"/>
            <w:tcBorders>
              <w:top w:val="single" w:sz="8" w:space="0" w:color="auto"/>
              <w:left w:val="single" w:sz="8" w:space="0" w:color="auto"/>
              <w:bottom w:val="single" w:sz="8" w:space="0" w:color="auto"/>
              <w:right w:val="single" w:sz="8" w:space="0" w:color="auto"/>
            </w:tcBorders>
            <w:vAlign w:val="center"/>
          </w:tcPr>
          <w:p w14:paraId="0DE3D169" w14:textId="77777777" w:rsidR="00982915" w:rsidRDefault="00EB6F73">
            <w:pPr>
              <w:jc w:val="center"/>
              <w:rPr>
                <w:rFonts w:ascii="Arial" w:hAnsi="Arial" w:cs="Arial"/>
                <w:sz w:val="18"/>
                <w:szCs w:val="18"/>
              </w:rPr>
            </w:pPr>
            <w:r>
              <w:rPr>
                <w:rFonts w:ascii="Arial" w:hAnsi="Arial" w:cs="Arial"/>
                <w:sz w:val="18"/>
                <w:szCs w:val="18"/>
              </w:rPr>
              <w:t>End of Q3</w:t>
            </w:r>
          </w:p>
        </w:tc>
        <w:tc>
          <w:tcPr>
            <w:tcW w:w="1648" w:type="dxa"/>
            <w:tcBorders>
              <w:top w:val="single" w:sz="8" w:space="0" w:color="auto"/>
              <w:left w:val="single" w:sz="8" w:space="0" w:color="auto"/>
              <w:bottom w:val="single" w:sz="8" w:space="0" w:color="auto"/>
              <w:right w:val="single" w:sz="8" w:space="0" w:color="auto"/>
            </w:tcBorders>
            <w:vAlign w:val="center"/>
          </w:tcPr>
          <w:p w14:paraId="77E57438" w14:textId="77777777" w:rsidR="00982915" w:rsidRDefault="00EB6F73">
            <w:pPr>
              <w:jc w:val="center"/>
              <w:rPr>
                <w:rFonts w:ascii="Arial" w:hAnsi="Arial" w:cs="Arial"/>
                <w:sz w:val="18"/>
                <w:szCs w:val="18"/>
              </w:rPr>
            </w:pPr>
            <w:r>
              <w:rPr>
                <w:rFonts w:ascii="Arial" w:hAnsi="Arial" w:cs="Arial"/>
                <w:sz w:val="18"/>
                <w:szCs w:val="18"/>
              </w:rPr>
              <w:t>End of Q4</w:t>
            </w:r>
          </w:p>
        </w:tc>
        <w:tc>
          <w:tcPr>
            <w:tcW w:w="1650" w:type="dxa"/>
            <w:tcBorders>
              <w:top w:val="single" w:sz="8" w:space="0" w:color="auto"/>
              <w:left w:val="single" w:sz="8" w:space="0" w:color="auto"/>
              <w:bottom w:val="single" w:sz="8" w:space="0" w:color="auto"/>
            </w:tcBorders>
            <w:vAlign w:val="center"/>
          </w:tcPr>
          <w:p w14:paraId="38A888B2" w14:textId="77777777" w:rsidR="00982915" w:rsidRDefault="00EB6F73">
            <w:pPr>
              <w:jc w:val="center"/>
              <w:rPr>
                <w:rFonts w:ascii="Arial" w:hAnsi="Arial" w:cs="Arial"/>
                <w:sz w:val="18"/>
                <w:szCs w:val="18"/>
              </w:rPr>
            </w:pPr>
            <w:r>
              <w:rPr>
                <w:rFonts w:ascii="Arial" w:hAnsi="Arial" w:cs="Arial"/>
                <w:sz w:val="18"/>
                <w:szCs w:val="18"/>
              </w:rPr>
              <w:t>Total</w:t>
            </w:r>
          </w:p>
        </w:tc>
      </w:tr>
      <w:tr w:rsidR="00982915" w14:paraId="2BB43CFE" w14:textId="77777777">
        <w:trPr>
          <w:trHeight w:val="295"/>
        </w:trPr>
        <w:tc>
          <w:tcPr>
            <w:tcW w:w="2085" w:type="dxa"/>
            <w:tcBorders>
              <w:top w:val="single" w:sz="8" w:space="0" w:color="auto"/>
              <w:right w:val="single" w:sz="8" w:space="0" w:color="auto"/>
            </w:tcBorders>
          </w:tcPr>
          <w:p w14:paraId="37FAD273" w14:textId="77777777" w:rsidR="00982915" w:rsidRDefault="00EB6F73">
            <w:pPr>
              <w:jc w:val="both"/>
              <w:rPr>
                <w:rFonts w:ascii="Arial" w:hAnsi="Arial" w:cs="Arial"/>
                <w:sz w:val="18"/>
                <w:szCs w:val="18"/>
              </w:rPr>
            </w:pPr>
            <w:r>
              <w:rPr>
                <w:rFonts w:ascii="Arial" w:hAnsi="Arial" w:cs="Arial"/>
                <w:sz w:val="18"/>
                <w:szCs w:val="18"/>
              </w:rPr>
              <w:t>FY2014</w:t>
            </w:r>
          </w:p>
        </w:tc>
        <w:tc>
          <w:tcPr>
            <w:tcW w:w="1648" w:type="dxa"/>
            <w:tcBorders>
              <w:top w:val="single" w:sz="8" w:space="0" w:color="auto"/>
              <w:left w:val="single" w:sz="8" w:space="0" w:color="auto"/>
              <w:right w:val="single" w:sz="8" w:space="0" w:color="auto"/>
            </w:tcBorders>
            <w:vAlign w:val="center"/>
          </w:tcPr>
          <w:p w14:paraId="2C6850A2" w14:textId="77777777" w:rsidR="00982915" w:rsidRDefault="00EB6F73">
            <w:pPr>
              <w:wordWrap w:val="0"/>
              <w:jc w:val="center"/>
              <w:rPr>
                <w:rFonts w:ascii="Arial" w:hAnsi="Arial" w:cs="Arial"/>
                <w:sz w:val="18"/>
                <w:szCs w:val="18"/>
              </w:rPr>
            </w:pPr>
            <w:r>
              <w:rPr>
                <w:rFonts w:ascii="Arial" w:hAnsi="Arial" w:cs="Arial"/>
              </w:rPr>
              <w:t>—</w:t>
            </w:r>
          </w:p>
        </w:tc>
        <w:tc>
          <w:tcPr>
            <w:tcW w:w="1648" w:type="dxa"/>
            <w:tcBorders>
              <w:top w:val="single" w:sz="8" w:space="0" w:color="auto"/>
              <w:left w:val="single" w:sz="8" w:space="0" w:color="auto"/>
              <w:right w:val="single" w:sz="8" w:space="0" w:color="auto"/>
            </w:tcBorders>
            <w:vAlign w:val="center"/>
          </w:tcPr>
          <w:p w14:paraId="38EA1BF0" w14:textId="77777777" w:rsidR="00982915" w:rsidRDefault="00EB6F73">
            <w:pPr>
              <w:jc w:val="center"/>
              <w:rPr>
                <w:rFonts w:ascii="Arial" w:hAnsi="Arial" w:cs="Arial"/>
                <w:sz w:val="18"/>
                <w:szCs w:val="18"/>
              </w:rPr>
            </w:pPr>
            <w:r>
              <w:rPr>
                <w:rFonts w:ascii="Arial" w:hAnsi="Arial" w:cs="Arial"/>
                <w:sz w:val="18"/>
                <w:szCs w:val="18"/>
              </w:rPr>
              <w:t>0.00</w:t>
            </w:r>
          </w:p>
        </w:tc>
        <w:tc>
          <w:tcPr>
            <w:tcW w:w="1648" w:type="dxa"/>
            <w:tcBorders>
              <w:top w:val="single" w:sz="8" w:space="0" w:color="auto"/>
              <w:left w:val="single" w:sz="8" w:space="0" w:color="auto"/>
              <w:right w:val="single" w:sz="8" w:space="0" w:color="auto"/>
            </w:tcBorders>
            <w:vAlign w:val="center"/>
          </w:tcPr>
          <w:p w14:paraId="083E8BCD" w14:textId="77777777" w:rsidR="00982915" w:rsidRDefault="00EB6F73">
            <w:pPr>
              <w:jc w:val="center"/>
            </w:pPr>
            <w:r>
              <w:rPr>
                <w:rFonts w:ascii="Arial" w:hAnsi="Arial" w:cs="Arial"/>
              </w:rPr>
              <w:t>—</w:t>
            </w:r>
          </w:p>
        </w:tc>
        <w:tc>
          <w:tcPr>
            <w:tcW w:w="1648" w:type="dxa"/>
            <w:tcBorders>
              <w:top w:val="single" w:sz="8" w:space="0" w:color="auto"/>
              <w:left w:val="single" w:sz="8" w:space="0" w:color="auto"/>
              <w:right w:val="single" w:sz="8" w:space="0" w:color="auto"/>
            </w:tcBorders>
            <w:vAlign w:val="center"/>
          </w:tcPr>
          <w:p w14:paraId="6285E122" w14:textId="4CDA0C0E" w:rsidR="00982915" w:rsidRDefault="00324087">
            <w:pPr>
              <w:jc w:val="center"/>
              <w:rPr>
                <w:rFonts w:ascii="Arial" w:hAnsi="Arial" w:cs="Arial"/>
                <w:sz w:val="18"/>
                <w:szCs w:val="18"/>
              </w:rPr>
            </w:pPr>
            <w:r>
              <w:rPr>
                <w:rFonts w:ascii="Arial" w:hAnsi="Arial" w:cs="Arial"/>
                <w:sz w:val="18"/>
                <w:szCs w:val="18"/>
              </w:rPr>
              <w:t>1.0</w:t>
            </w:r>
          </w:p>
        </w:tc>
        <w:tc>
          <w:tcPr>
            <w:tcW w:w="1650" w:type="dxa"/>
            <w:tcBorders>
              <w:top w:val="single" w:sz="8" w:space="0" w:color="auto"/>
              <w:left w:val="single" w:sz="8" w:space="0" w:color="auto"/>
            </w:tcBorders>
            <w:vAlign w:val="center"/>
          </w:tcPr>
          <w:p w14:paraId="451AAEE4" w14:textId="77777777" w:rsidR="00982915" w:rsidRDefault="00EB6F73">
            <w:pPr>
              <w:jc w:val="center"/>
              <w:rPr>
                <w:rFonts w:ascii="Arial" w:hAnsi="Arial" w:cs="Arial"/>
                <w:sz w:val="18"/>
                <w:szCs w:val="18"/>
              </w:rPr>
            </w:pPr>
            <w:r>
              <w:rPr>
                <w:rFonts w:ascii="Arial" w:hAnsi="Arial" w:cs="Arial"/>
              </w:rPr>
              <w:t>—</w:t>
            </w:r>
          </w:p>
        </w:tc>
      </w:tr>
      <w:tr w:rsidR="00982915" w14:paraId="5D39B30C" w14:textId="77777777">
        <w:trPr>
          <w:trHeight w:val="278"/>
        </w:trPr>
        <w:tc>
          <w:tcPr>
            <w:tcW w:w="2085" w:type="dxa"/>
            <w:tcBorders>
              <w:bottom w:val="single" w:sz="8" w:space="0" w:color="auto"/>
              <w:right w:val="single" w:sz="8" w:space="0" w:color="auto"/>
            </w:tcBorders>
          </w:tcPr>
          <w:p w14:paraId="3C949FC9" w14:textId="77777777" w:rsidR="00982915" w:rsidRDefault="00EB6F73">
            <w:pPr>
              <w:jc w:val="both"/>
              <w:rPr>
                <w:rFonts w:ascii="Arial" w:hAnsi="Arial" w:cs="Arial"/>
                <w:sz w:val="18"/>
                <w:szCs w:val="18"/>
              </w:rPr>
            </w:pPr>
            <w:r>
              <w:rPr>
                <w:rFonts w:ascii="Arial" w:hAnsi="Arial" w:cs="Arial"/>
                <w:sz w:val="18"/>
                <w:szCs w:val="18"/>
              </w:rPr>
              <w:t>FY2015</w:t>
            </w:r>
          </w:p>
        </w:tc>
        <w:tc>
          <w:tcPr>
            <w:tcW w:w="1648" w:type="dxa"/>
            <w:tcBorders>
              <w:left w:val="single" w:sz="8" w:space="0" w:color="auto"/>
              <w:bottom w:val="single" w:sz="8" w:space="0" w:color="auto"/>
              <w:right w:val="single" w:sz="8" w:space="0" w:color="auto"/>
            </w:tcBorders>
            <w:vAlign w:val="center"/>
          </w:tcPr>
          <w:p w14:paraId="2CC2AEBF" w14:textId="77777777" w:rsidR="00982915" w:rsidRDefault="00EB6F73">
            <w:pPr>
              <w:jc w:val="center"/>
              <w:rPr>
                <w:rFonts w:ascii="Arial" w:hAnsi="Arial" w:cs="Arial"/>
                <w:sz w:val="18"/>
                <w:szCs w:val="18"/>
              </w:rPr>
            </w:pPr>
            <w:r>
              <w:rPr>
                <w:rFonts w:ascii="Arial" w:hAnsi="Arial" w:cs="Arial"/>
              </w:rPr>
              <w:t>—</w:t>
            </w:r>
          </w:p>
        </w:tc>
        <w:tc>
          <w:tcPr>
            <w:tcW w:w="1648" w:type="dxa"/>
            <w:tcBorders>
              <w:left w:val="single" w:sz="8" w:space="0" w:color="auto"/>
              <w:bottom w:val="single" w:sz="8" w:space="0" w:color="auto"/>
              <w:right w:val="single" w:sz="8" w:space="0" w:color="auto"/>
            </w:tcBorders>
            <w:vAlign w:val="center"/>
          </w:tcPr>
          <w:p w14:paraId="43B6AF3A" w14:textId="77777777" w:rsidR="00982915" w:rsidRDefault="00EB6F73">
            <w:pPr>
              <w:jc w:val="center"/>
              <w:rPr>
                <w:rFonts w:ascii="Arial" w:hAnsi="Arial" w:cs="Arial"/>
                <w:sz w:val="18"/>
                <w:szCs w:val="18"/>
              </w:rPr>
            </w:pPr>
            <w:r>
              <w:rPr>
                <w:rFonts w:ascii="Arial" w:hAnsi="Arial" w:cs="Arial"/>
                <w:sz w:val="18"/>
                <w:szCs w:val="18"/>
              </w:rPr>
              <w:t>0.00</w:t>
            </w:r>
          </w:p>
        </w:tc>
        <w:tc>
          <w:tcPr>
            <w:tcW w:w="1648" w:type="dxa"/>
            <w:tcBorders>
              <w:left w:val="single" w:sz="8" w:space="0" w:color="auto"/>
              <w:bottom w:val="single" w:sz="8" w:space="0" w:color="auto"/>
              <w:right w:val="single" w:sz="8" w:space="0" w:color="auto"/>
            </w:tcBorders>
            <w:vAlign w:val="center"/>
          </w:tcPr>
          <w:p w14:paraId="526D15BE" w14:textId="77777777" w:rsidR="00982915" w:rsidRDefault="00EB6F73">
            <w:pPr>
              <w:jc w:val="center"/>
            </w:pPr>
            <w:r>
              <w:rPr>
                <w:rFonts w:ascii="Arial" w:hAnsi="Arial" w:cs="Arial"/>
              </w:rPr>
              <w:t>—</w:t>
            </w:r>
          </w:p>
        </w:tc>
        <w:tc>
          <w:tcPr>
            <w:tcW w:w="1648" w:type="dxa"/>
            <w:tcBorders>
              <w:left w:val="single" w:sz="8" w:space="0" w:color="auto"/>
              <w:bottom w:val="single" w:sz="8" w:space="0" w:color="auto"/>
              <w:right w:val="single" w:sz="8" w:space="0" w:color="auto"/>
            </w:tcBorders>
            <w:shd w:val="clear" w:color="auto" w:fill="7F7F7F" w:themeFill="text1" w:themeFillTint="80"/>
            <w:vAlign w:val="center"/>
          </w:tcPr>
          <w:p w14:paraId="3DE7F36A" w14:textId="77777777" w:rsidR="00982915" w:rsidRDefault="00982915">
            <w:pPr>
              <w:jc w:val="center"/>
              <w:rPr>
                <w:rFonts w:ascii="Arial" w:hAnsi="Arial" w:cs="Arial"/>
                <w:sz w:val="18"/>
                <w:szCs w:val="18"/>
              </w:rPr>
            </w:pPr>
          </w:p>
        </w:tc>
        <w:tc>
          <w:tcPr>
            <w:tcW w:w="1650" w:type="dxa"/>
            <w:tcBorders>
              <w:left w:val="single" w:sz="8" w:space="0" w:color="auto"/>
              <w:bottom w:val="single" w:sz="8" w:space="0" w:color="auto"/>
            </w:tcBorders>
            <w:shd w:val="clear" w:color="auto" w:fill="7F7F7F" w:themeFill="text1" w:themeFillTint="80"/>
            <w:vAlign w:val="center"/>
          </w:tcPr>
          <w:p w14:paraId="0671F7BD" w14:textId="77777777" w:rsidR="00982915" w:rsidRDefault="00982915">
            <w:pPr>
              <w:jc w:val="center"/>
              <w:rPr>
                <w:rFonts w:ascii="Arial" w:hAnsi="Arial" w:cs="Arial"/>
                <w:sz w:val="18"/>
                <w:szCs w:val="18"/>
              </w:rPr>
            </w:pPr>
          </w:p>
        </w:tc>
      </w:tr>
      <w:tr w:rsidR="00982915" w14:paraId="5F43D4BB" w14:textId="77777777">
        <w:trPr>
          <w:trHeight w:val="229"/>
        </w:trPr>
        <w:tc>
          <w:tcPr>
            <w:tcW w:w="2085" w:type="dxa"/>
            <w:tcBorders>
              <w:top w:val="single" w:sz="8" w:space="0" w:color="auto"/>
              <w:right w:val="single" w:sz="8" w:space="0" w:color="auto"/>
            </w:tcBorders>
          </w:tcPr>
          <w:p w14:paraId="0996C5B4" w14:textId="77777777" w:rsidR="00982915" w:rsidRDefault="00EB6F73">
            <w:pPr>
              <w:jc w:val="both"/>
              <w:rPr>
                <w:rFonts w:ascii="Arial" w:hAnsi="Arial" w:cs="Arial"/>
                <w:sz w:val="18"/>
                <w:szCs w:val="18"/>
              </w:rPr>
            </w:pPr>
            <w:r>
              <w:rPr>
                <w:rFonts w:ascii="Arial" w:hAnsi="Arial" w:cs="Arial"/>
                <w:sz w:val="18"/>
                <w:szCs w:val="18"/>
              </w:rPr>
              <w:t>FY2015 (forecast)</w:t>
            </w:r>
          </w:p>
        </w:tc>
        <w:tc>
          <w:tcPr>
            <w:tcW w:w="1648" w:type="dxa"/>
            <w:tcBorders>
              <w:top w:val="single" w:sz="8" w:space="0" w:color="auto"/>
              <w:left w:val="single" w:sz="8" w:space="0" w:color="auto"/>
              <w:right w:val="single" w:sz="8" w:space="0" w:color="auto"/>
            </w:tcBorders>
            <w:shd w:val="clear" w:color="auto" w:fill="7F7F7F" w:themeFill="text1" w:themeFillTint="80"/>
            <w:vAlign w:val="center"/>
          </w:tcPr>
          <w:p w14:paraId="782B44E8" w14:textId="77777777" w:rsidR="00982915" w:rsidRDefault="00982915">
            <w:pPr>
              <w:jc w:val="center"/>
              <w:rPr>
                <w:rFonts w:ascii="Arial" w:hAnsi="Arial" w:cs="Arial"/>
                <w:sz w:val="18"/>
                <w:szCs w:val="18"/>
              </w:rPr>
            </w:pPr>
          </w:p>
        </w:tc>
        <w:tc>
          <w:tcPr>
            <w:tcW w:w="1648" w:type="dxa"/>
            <w:tcBorders>
              <w:top w:val="single" w:sz="8" w:space="0" w:color="auto"/>
              <w:left w:val="single" w:sz="8" w:space="0" w:color="auto"/>
              <w:right w:val="single" w:sz="8" w:space="0" w:color="auto"/>
            </w:tcBorders>
            <w:shd w:val="clear" w:color="auto" w:fill="7F7F7F" w:themeFill="text1" w:themeFillTint="80"/>
            <w:vAlign w:val="center"/>
          </w:tcPr>
          <w:p w14:paraId="2EFF732A" w14:textId="77777777" w:rsidR="00982915" w:rsidRDefault="00982915">
            <w:pPr>
              <w:jc w:val="center"/>
              <w:rPr>
                <w:rFonts w:ascii="Arial" w:hAnsi="Arial" w:cs="Arial"/>
                <w:sz w:val="18"/>
                <w:szCs w:val="18"/>
              </w:rPr>
            </w:pPr>
          </w:p>
        </w:tc>
        <w:tc>
          <w:tcPr>
            <w:tcW w:w="1648" w:type="dxa"/>
            <w:tcBorders>
              <w:top w:val="single" w:sz="8" w:space="0" w:color="auto"/>
              <w:left w:val="single" w:sz="8" w:space="0" w:color="auto"/>
              <w:right w:val="single" w:sz="8" w:space="0" w:color="auto"/>
            </w:tcBorders>
            <w:shd w:val="clear" w:color="auto" w:fill="7F7F7F" w:themeFill="text1" w:themeFillTint="80"/>
            <w:vAlign w:val="center"/>
          </w:tcPr>
          <w:p w14:paraId="18F1E7E7" w14:textId="77777777" w:rsidR="00982915" w:rsidRDefault="00982915">
            <w:pPr>
              <w:jc w:val="center"/>
              <w:rPr>
                <w:rFonts w:ascii="Arial" w:hAnsi="Arial" w:cs="Arial"/>
                <w:sz w:val="18"/>
                <w:szCs w:val="18"/>
              </w:rPr>
            </w:pPr>
          </w:p>
        </w:tc>
        <w:tc>
          <w:tcPr>
            <w:tcW w:w="1648" w:type="dxa"/>
            <w:tcBorders>
              <w:top w:val="single" w:sz="8" w:space="0" w:color="auto"/>
              <w:left w:val="single" w:sz="8" w:space="0" w:color="auto"/>
              <w:right w:val="single" w:sz="8" w:space="0" w:color="auto"/>
            </w:tcBorders>
            <w:vAlign w:val="center"/>
          </w:tcPr>
          <w:p w14:paraId="135A5400" w14:textId="640D445C" w:rsidR="00982915" w:rsidRDefault="00EB6F73">
            <w:pPr>
              <w:jc w:val="center"/>
              <w:rPr>
                <w:rFonts w:ascii="Arial" w:hAnsi="Arial" w:cs="Arial"/>
                <w:sz w:val="18"/>
                <w:szCs w:val="18"/>
              </w:rPr>
            </w:pPr>
            <w:r>
              <w:rPr>
                <w:rFonts w:ascii="Arial" w:hAnsi="Arial" w:cs="Arial"/>
                <w:sz w:val="18"/>
                <w:szCs w:val="18"/>
              </w:rPr>
              <w:t>1.00</w:t>
            </w:r>
          </w:p>
        </w:tc>
        <w:tc>
          <w:tcPr>
            <w:tcW w:w="1650" w:type="dxa"/>
            <w:tcBorders>
              <w:top w:val="single" w:sz="8" w:space="0" w:color="auto"/>
              <w:left w:val="single" w:sz="8" w:space="0" w:color="auto"/>
            </w:tcBorders>
            <w:vAlign w:val="center"/>
          </w:tcPr>
          <w:p w14:paraId="0B5537A1" w14:textId="6C045E01" w:rsidR="00982915" w:rsidRDefault="00EB6F73">
            <w:pPr>
              <w:jc w:val="center"/>
              <w:rPr>
                <w:rFonts w:ascii="Arial" w:hAnsi="Arial" w:cs="Arial"/>
                <w:sz w:val="18"/>
                <w:szCs w:val="18"/>
              </w:rPr>
            </w:pPr>
            <w:r>
              <w:rPr>
                <w:rFonts w:ascii="Arial" w:hAnsi="Arial" w:cs="Arial"/>
                <w:sz w:val="18"/>
                <w:szCs w:val="18"/>
              </w:rPr>
              <w:t>1.00</w:t>
            </w:r>
          </w:p>
        </w:tc>
      </w:tr>
    </w:tbl>
    <w:p w14:paraId="48450172" w14:textId="77777777" w:rsidR="00982915" w:rsidRDefault="00EB6F73">
      <w:pPr>
        <w:spacing w:after="0" w:line="240" w:lineRule="auto"/>
        <w:jc w:val="both"/>
        <w:rPr>
          <w:rFonts w:ascii="Arial" w:hAnsi="Arial" w:cs="Arial"/>
          <w:sz w:val="21"/>
          <w:szCs w:val="21"/>
        </w:rPr>
      </w:pPr>
      <w:r>
        <w:rPr>
          <w:rFonts w:ascii="Arial" w:hAnsi="Arial" w:cs="Arial"/>
          <w:sz w:val="18"/>
          <w:szCs w:val="18"/>
        </w:rPr>
        <w:t>(Note) Corrections regarding current dividend forecasts: None</w:t>
      </w:r>
    </w:p>
    <w:p w14:paraId="1A554164" w14:textId="77777777" w:rsidR="00982915" w:rsidRDefault="00982915">
      <w:pPr>
        <w:spacing w:after="0" w:line="240" w:lineRule="auto"/>
        <w:jc w:val="both"/>
        <w:rPr>
          <w:rFonts w:ascii="Arial" w:hAnsi="Arial" w:cs="Arial"/>
          <w:b/>
          <w:bCs/>
          <w:sz w:val="20"/>
          <w:szCs w:val="20"/>
        </w:rPr>
      </w:pPr>
    </w:p>
    <w:p w14:paraId="53BA5E09" w14:textId="77777777" w:rsidR="00982915" w:rsidRDefault="00EB6F73">
      <w:pPr>
        <w:rPr>
          <w:rFonts w:ascii="Arial" w:hAnsi="Arial" w:cs="Arial"/>
          <w:b/>
          <w:bCs/>
          <w:sz w:val="20"/>
          <w:szCs w:val="20"/>
        </w:rPr>
      </w:pPr>
      <w:r>
        <w:rPr>
          <w:rFonts w:ascii="Arial" w:hAnsi="Arial" w:cs="Arial"/>
          <w:b/>
          <w:bCs/>
          <w:sz w:val="20"/>
          <w:szCs w:val="20"/>
        </w:rPr>
        <w:br w:type="page"/>
      </w:r>
    </w:p>
    <w:p w14:paraId="2FB66EC4" w14:textId="77777777" w:rsidR="00982915" w:rsidRDefault="00EB6F73">
      <w:pPr>
        <w:spacing w:after="0" w:line="240" w:lineRule="auto"/>
        <w:jc w:val="both"/>
        <w:rPr>
          <w:rFonts w:ascii="Arial" w:hAnsi="Arial" w:cs="Arial"/>
          <w:b/>
          <w:bCs/>
          <w:sz w:val="21"/>
          <w:szCs w:val="20"/>
        </w:rPr>
      </w:pPr>
      <w:r>
        <w:rPr>
          <w:rFonts w:ascii="Arial" w:hAnsi="Arial" w:cs="Arial"/>
          <w:b/>
          <w:bCs/>
          <w:sz w:val="21"/>
          <w:szCs w:val="20"/>
        </w:rPr>
        <w:lastRenderedPageBreak/>
        <w:t>3. Consolidated Financial Forecast for the Year Ending December 31, 2015</w:t>
      </w:r>
    </w:p>
    <w:p w14:paraId="04C41379" w14:textId="77777777" w:rsidR="00982915" w:rsidRDefault="00EB6F73">
      <w:pPr>
        <w:spacing w:after="0" w:line="240" w:lineRule="auto"/>
        <w:ind w:leftChars="129" w:left="284"/>
        <w:jc w:val="both"/>
        <w:rPr>
          <w:rFonts w:ascii="Arial" w:hAnsi="Arial" w:cs="Arial"/>
          <w:b/>
          <w:sz w:val="21"/>
          <w:szCs w:val="20"/>
        </w:rPr>
      </w:pPr>
      <w:r>
        <w:rPr>
          <w:rFonts w:ascii="Arial" w:hAnsi="Arial" w:cs="Arial"/>
          <w:b/>
          <w:sz w:val="21"/>
          <w:szCs w:val="20"/>
        </w:rPr>
        <w:t>(January 1, 2015 – December 31, 2015)</w:t>
      </w:r>
    </w:p>
    <w:p w14:paraId="712BBA42" w14:textId="77777777" w:rsidR="00982915" w:rsidRDefault="00EB6F73">
      <w:pPr>
        <w:spacing w:after="0" w:line="240" w:lineRule="auto"/>
        <w:jc w:val="right"/>
        <w:rPr>
          <w:rFonts w:ascii="Arial" w:hAnsi="Arial" w:cs="Arial"/>
          <w:sz w:val="16"/>
          <w:szCs w:val="20"/>
        </w:rPr>
      </w:pPr>
      <w:r>
        <w:rPr>
          <w:rFonts w:ascii="Arial" w:hAnsi="Arial" w:cs="Arial"/>
          <w:sz w:val="16"/>
          <w:szCs w:val="20"/>
        </w:rPr>
        <w:t>(Percentage figures denote the year-on-year increase or decrease.)</w:t>
      </w:r>
    </w:p>
    <w:tbl>
      <w:tblPr>
        <w:tblStyle w:val="TableGrid"/>
        <w:tblW w:w="104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108"/>
        <w:gridCol w:w="1187"/>
        <w:gridCol w:w="708"/>
        <w:gridCol w:w="1173"/>
        <w:gridCol w:w="891"/>
        <w:gridCol w:w="1286"/>
        <w:gridCol w:w="792"/>
        <w:gridCol w:w="1286"/>
        <w:gridCol w:w="693"/>
        <w:gridCol w:w="1286"/>
      </w:tblGrid>
      <w:tr w:rsidR="00982915" w14:paraId="0A3C7A09" w14:textId="77777777">
        <w:trPr>
          <w:trHeight w:val="433"/>
        </w:trPr>
        <w:tc>
          <w:tcPr>
            <w:tcW w:w="1108" w:type="dxa"/>
            <w:tcBorders>
              <w:top w:val="single" w:sz="12" w:space="0" w:color="auto"/>
              <w:bottom w:val="single" w:sz="8" w:space="0" w:color="auto"/>
              <w:right w:val="single" w:sz="8" w:space="0" w:color="auto"/>
              <w:tl2br w:val="single" w:sz="8" w:space="0" w:color="auto"/>
            </w:tcBorders>
          </w:tcPr>
          <w:p w14:paraId="359563BF" w14:textId="77777777" w:rsidR="00982915" w:rsidRDefault="00982915">
            <w:pPr>
              <w:jc w:val="both"/>
              <w:rPr>
                <w:rFonts w:ascii="Arial" w:hAnsi="Arial" w:cs="Arial"/>
                <w:sz w:val="18"/>
                <w:szCs w:val="18"/>
              </w:rPr>
            </w:pPr>
          </w:p>
        </w:tc>
        <w:tc>
          <w:tcPr>
            <w:tcW w:w="1895" w:type="dxa"/>
            <w:gridSpan w:val="2"/>
            <w:tcBorders>
              <w:left w:val="single" w:sz="8" w:space="0" w:color="auto"/>
              <w:bottom w:val="single" w:sz="8" w:space="0" w:color="auto"/>
              <w:right w:val="single" w:sz="8" w:space="0" w:color="auto"/>
            </w:tcBorders>
            <w:vAlign w:val="center"/>
          </w:tcPr>
          <w:p w14:paraId="3F207446" w14:textId="77777777" w:rsidR="00982915" w:rsidRDefault="00EB6F73">
            <w:pPr>
              <w:jc w:val="center"/>
              <w:rPr>
                <w:rFonts w:ascii="Arial" w:hAnsi="Arial" w:cs="Arial"/>
                <w:sz w:val="18"/>
                <w:szCs w:val="18"/>
              </w:rPr>
            </w:pPr>
            <w:r>
              <w:rPr>
                <w:rFonts w:ascii="Arial" w:hAnsi="Arial" w:cs="Arial"/>
                <w:sz w:val="18"/>
                <w:szCs w:val="18"/>
              </w:rPr>
              <w:t>Net sales</w:t>
            </w:r>
          </w:p>
        </w:tc>
        <w:tc>
          <w:tcPr>
            <w:tcW w:w="2064" w:type="dxa"/>
            <w:gridSpan w:val="2"/>
            <w:tcBorders>
              <w:left w:val="single" w:sz="8" w:space="0" w:color="auto"/>
              <w:bottom w:val="single" w:sz="8" w:space="0" w:color="auto"/>
              <w:right w:val="single" w:sz="8" w:space="0" w:color="auto"/>
            </w:tcBorders>
            <w:vAlign w:val="center"/>
          </w:tcPr>
          <w:p w14:paraId="5B196BC2" w14:textId="77777777" w:rsidR="00982915" w:rsidRDefault="00EB6F73">
            <w:pPr>
              <w:jc w:val="center"/>
              <w:rPr>
                <w:rFonts w:ascii="Arial" w:hAnsi="Arial" w:cs="Arial"/>
                <w:sz w:val="18"/>
                <w:szCs w:val="18"/>
              </w:rPr>
            </w:pPr>
            <w:r>
              <w:rPr>
                <w:rFonts w:ascii="Arial" w:hAnsi="Arial" w:cs="Arial"/>
                <w:sz w:val="18"/>
                <w:szCs w:val="18"/>
              </w:rPr>
              <w:t>Operating income</w:t>
            </w:r>
          </w:p>
        </w:tc>
        <w:tc>
          <w:tcPr>
            <w:tcW w:w="2078" w:type="dxa"/>
            <w:gridSpan w:val="2"/>
            <w:tcBorders>
              <w:left w:val="single" w:sz="8" w:space="0" w:color="auto"/>
              <w:bottom w:val="single" w:sz="8" w:space="0" w:color="auto"/>
              <w:right w:val="single" w:sz="8" w:space="0" w:color="auto"/>
            </w:tcBorders>
            <w:vAlign w:val="center"/>
          </w:tcPr>
          <w:p w14:paraId="7947D281" w14:textId="77777777" w:rsidR="00982915" w:rsidRDefault="00EB6F73">
            <w:pPr>
              <w:jc w:val="center"/>
              <w:rPr>
                <w:rFonts w:ascii="Arial" w:hAnsi="Arial" w:cs="Arial"/>
                <w:sz w:val="18"/>
                <w:szCs w:val="18"/>
              </w:rPr>
            </w:pPr>
            <w:r>
              <w:rPr>
                <w:rFonts w:ascii="Arial" w:hAnsi="Arial" w:cs="Arial"/>
                <w:sz w:val="18"/>
                <w:szCs w:val="18"/>
              </w:rPr>
              <w:t>Ordinary income</w:t>
            </w:r>
          </w:p>
        </w:tc>
        <w:tc>
          <w:tcPr>
            <w:tcW w:w="1979" w:type="dxa"/>
            <w:gridSpan w:val="2"/>
            <w:tcBorders>
              <w:left w:val="single" w:sz="8" w:space="0" w:color="auto"/>
              <w:bottom w:val="single" w:sz="8" w:space="0" w:color="auto"/>
              <w:right w:val="single" w:sz="8" w:space="0" w:color="auto"/>
            </w:tcBorders>
            <w:vAlign w:val="center"/>
          </w:tcPr>
          <w:p w14:paraId="5363A7AE" w14:textId="77777777" w:rsidR="00982915" w:rsidRDefault="00EB6F73">
            <w:pPr>
              <w:jc w:val="center"/>
              <w:rPr>
                <w:rFonts w:ascii="Arial" w:hAnsi="Arial" w:cs="Arial"/>
                <w:sz w:val="18"/>
                <w:szCs w:val="18"/>
              </w:rPr>
            </w:pPr>
            <w:r>
              <w:rPr>
                <w:rFonts w:ascii="Arial" w:hAnsi="Arial" w:cs="Arial"/>
                <w:sz w:val="18"/>
                <w:szCs w:val="18"/>
              </w:rPr>
              <w:t>Net income</w:t>
            </w:r>
          </w:p>
        </w:tc>
        <w:tc>
          <w:tcPr>
            <w:tcW w:w="1286" w:type="dxa"/>
            <w:tcBorders>
              <w:left w:val="single" w:sz="8" w:space="0" w:color="auto"/>
              <w:bottom w:val="single" w:sz="8" w:space="0" w:color="auto"/>
            </w:tcBorders>
            <w:vAlign w:val="center"/>
          </w:tcPr>
          <w:p w14:paraId="3124B220" w14:textId="77777777" w:rsidR="00982915" w:rsidRDefault="00EB6F73">
            <w:pPr>
              <w:jc w:val="center"/>
              <w:rPr>
                <w:rFonts w:ascii="Arial" w:hAnsi="Arial" w:cs="Arial"/>
                <w:sz w:val="18"/>
                <w:szCs w:val="18"/>
              </w:rPr>
            </w:pPr>
            <w:r>
              <w:rPr>
                <w:rFonts w:ascii="Arial" w:hAnsi="Arial" w:cs="Arial"/>
                <w:sz w:val="18"/>
                <w:szCs w:val="18"/>
              </w:rPr>
              <w:t>Net income</w:t>
            </w:r>
          </w:p>
          <w:p w14:paraId="67D24F63" w14:textId="77777777" w:rsidR="00982915" w:rsidRDefault="00EB6F73">
            <w:pPr>
              <w:jc w:val="center"/>
              <w:rPr>
                <w:rFonts w:ascii="Arial" w:hAnsi="Arial" w:cs="Arial"/>
                <w:sz w:val="18"/>
                <w:szCs w:val="18"/>
              </w:rPr>
            </w:pPr>
            <w:r>
              <w:rPr>
                <w:rFonts w:ascii="Arial" w:hAnsi="Arial" w:cs="Arial"/>
                <w:sz w:val="18"/>
                <w:szCs w:val="18"/>
              </w:rPr>
              <w:t>per share</w:t>
            </w:r>
          </w:p>
        </w:tc>
      </w:tr>
      <w:tr w:rsidR="00982915" w14:paraId="6AE77D7A" w14:textId="77777777">
        <w:trPr>
          <w:trHeight w:val="210"/>
        </w:trPr>
        <w:tc>
          <w:tcPr>
            <w:tcW w:w="1108" w:type="dxa"/>
            <w:tcBorders>
              <w:top w:val="single" w:sz="8" w:space="0" w:color="auto"/>
              <w:right w:val="single" w:sz="8" w:space="0" w:color="auto"/>
            </w:tcBorders>
          </w:tcPr>
          <w:p w14:paraId="4D22626B" w14:textId="77777777" w:rsidR="00982915" w:rsidRDefault="00982915">
            <w:pPr>
              <w:jc w:val="both"/>
              <w:rPr>
                <w:rFonts w:ascii="Arial" w:hAnsi="Arial" w:cs="Arial"/>
                <w:sz w:val="18"/>
                <w:szCs w:val="18"/>
              </w:rPr>
            </w:pPr>
          </w:p>
        </w:tc>
        <w:tc>
          <w:tcPr>
            <w:tcW w:w="1187" w:type="dxa"/>
            <w:tcBorders>
              <w:top w:val="single" w:sz="8" w:space="0" w:color="auto"/>
              <w:left w:val="single" w:sz="8" w:space="0" w:color="auto"/>
            </w:tcBorders>
            <w:vAlign w:val="center"/>
          </w:tcPr>
          <w:p w14:paraId="3B2670B9" w14:textId="77777777" w:rsidR="00982915" w:rsidRDefault="00EB6F73">
            <w:pPr>
              <w:jc w:val="right"/>
              <w:rPr>
                <w:rFonts w:ascii="Arial" w:hAnsi="Arial" w:cs="Arial"/>
                <w:sz w:val="14"/>
                <w:szCs w:val="18"/>
              </w:rPr>
            </w:pPr>
            <w:r>
              <w:rPr>
                <w:rFonts w:ascii="Arial" w:hAnsi="Arial" w:cs="Arial"/>
                <w:sz w:val="14"/>
                <w:szCs w:val="18"/>
              </w:rPr>
              <w:t>Million yen</w:t>
            </w:r>
          </w:p>
        </w:tc>
        <w:tc>
          <w:tcPr>
            <w:tcW w:w="707" w:type="dxa"/>
            <w:tcBorders>
              <w:top w:val="single" w:sz="8" w:space="0" w:color="auto"/>
              <w:right w:val="single" w:sz="8" w:space="0" w:color="auto"/>
            </w:tcBorders>
            <w:vAlign w:val="center"/>
          </w:tcPr>
          <w:p w14:paraId="4CBF387B" w14:textId="77777777" w:rsidR="00982915" w:rsidRDefault="00EB6F73">
            <w:pPr>
              <w:jc w:val="right"/>
              <w:rPr>
                <w:rFonts w:ascii="Arial" w:hAnsi="Arial" w:cs="Arial"/>
                <w:sz w:val="14"/>
                <w:szCs w:val="18"/>
              </w:rPr>
            </w:pPr>
            <w:r>
              <w:rPr>
                <w:rFonts w:ascii="Arial" w:hAnsi="Arial" w:cs="Arial"/>
                <w:sz w:val="14"/>
                <w:szCs w:val="18"/>
              </w:rPr>
              <w:t>%</w:t>
            </w:r>
          </w:p>
        </w:tc>
        <w:tc>
          <w:tcPr>
            <w:tcW w:w="1173" w:type="dxa"/>
            <w:tcBorders>
              <w:top w:val="single" w:sz="8" w:space="0" w:color="auto"/>
              <w:left w:val="single" w:sz="8" w:space="0" w:color="auto"/>
            </w:tcBorders>
            <w:vAlign w:val="center"/>
          </w:tcPr>
          <w:p w14:paraId="5EE6A744" w14:textId="77777777" w:rsidR="00982915" w:rsidRDefault="00EB6F73">
            <w:pPr>
              <w:jc w:val="right"/>
              <w:rPr>
                <w:rFonts w:ascii="Arial" w:hAnsi="Arial" w:cs="Arial"/>
                <w:sz w:val="14"/>
                <w:szCs w:val="18"/>
              </w:rPr>
            </w:pPr>
            <w:r>
              <w:rPr>
                <w:rFonts w:ascii="Arial" w:hAnsi="Arial" w:cs="Arial"/>
                <w:sz w:val="14"/>
                <w:szCs w:val="18"/>
              </w:rPr>
              <w:t>Million yen</w:t>
            </w:r>
          </w:p>
        </w:tc>
        <w:tc>
          <w:tcPr>
            <w:tcW w:w="890" w:type="dxa"/>
            <w:tcBorders>
              <w:top w:val="single" w:sz="8" w:space="0" w:color="auto"/>
              <w:right w:val="single" w:sz="8" w:space="0" w:color="auto"/>
            </w:tcBorders>
            <w:vAlign w:val="center"/>
          </w:tcPr>
          <w:p w14:paraId="51ABBAB6" w14:textId="77777777" w:rsidR="00982915" w:rsidRDefault="00EB6F73">
            <w:pPr>
              <w:jc w:val="right"/>
              <w:rPr>
                <w:rFonts w:ascii="Arial" w:hAnsi="Arial" w:cs="Arial"/>
                <w:sz w:val="14"/>
                <w:szCs w:val="18"/>
              </w:rPr>
            </w:pPr>
            <w:r>
              <w:rPr>
                <w:rFonts w:ascii="Arial" w:hAnsi="Arial" w:cs="Arial"/>
                <w:sz w:val="14"/>
                <w:szCs w:val="18"/>
              </w:rPr>
              <w:t>%</w:t>
            </w:r>
          </w:p>
        </w:tc>
        <w:tc>
          <w:tcPr>
            <w:tcW w:w="1286" w:type="dxa"/>
            <w:tcBorders>
              <w:top w:val="single" w:sz="8" w:space="0" w:color="auto"/>
              <w:left w:val="single" w:sz="8" w:space="0" w:color="auto"/>
            </w:tcBorders>
            <w:vAlign w:val="center"/>
          </w:tcPr>
          <w:p w14:paraId="4426BE3F" w14:textId="77777777" w:rsidR="00982915" w:rsidRDefault="00EB6F73">
            <w:pPr>
              <w:jc w:val="right"/>
              <w:rPr>
                <w:rFonts w:ascii="Arial" w:hAnsi="Arial" w:cs="Arial"/>
                <w:sz w:val="14"/>
                <w:szCs w:val="18"/>
              </w:rPr>
            </w:pPr>
            <w:r>
              <w:rPr>
                <w:rFonts w:ascii="Arial" w:hAnsi="Arial" w:cs="Arial"/>
                <w:sz w:val="14"/>
                <w:szCs w:val="18"/>
              </w:rPr>
              <w:t>Million yen</w:t>
            </w:r>
          </w:p>
        </w:tc>
        <w:tc>
          <w:tcPr>
            <w:tcW w:w="791" w:type="dxa"/>
            <w:tcBorders>
              <w:top w:val="single" w:sz="8" w:space="0" w:color="auto"/>
              <w:right w:val="single" w:sz="8" w:space="0" w:color="auto"/>
            </w:tcBorders>
            <w:vAlign w:val="center"/>
          </w:tcPr>
          <w:p w14:paraId="1D5D4078" w14:textId="77777777" w:rsidR="00982915" w:rsidRDefault="00EB6F73">
            <w:pPr>
              <w:jc w:val="right"/>
              <w:rPr>
                <w:rFonts w:ascii="Arial" w:hAnsi="Arial" w:cs="Arial"/>
                <w:sz w:val="14"/>
                <w:szCs w:val="18"/>
              </w:rPr>
            </w:pPr>
            <w:r>
              <w:rPr>
                <w:rFonts w:ascii="Arial" w:hAnsi="Arial" w:cs="Arial"/>
                <w:sz w:val="14"/>
                <w:szCs w:val="18"/>
              </w:rPr>
              <w:t>%</w:t>
            </w:r>
          </w:p>
        </w:tc>
        <w:tc>
          <w:tcPr>
            <w:tcW w:w="1286" w:type="dxa"/>
            <w:tcBorders>
              <w:top w:val="single" w:sz="8" w:space="0" w:color="auto"/>
              <w:left w:val="single" w:sz="8" w:space="0" w:color="auto"/>
            </w:tcBorders>
            <w:vAlign w:val="center"/>
          </w:tcPr>
          <w:p w14:paraId="1D7EFD4F" w14:textId="77777777" w:rsidR="00982915" w:rsidRDefault="00EB6F73">
            <w:pPr>
              <w:jc w:val="right"/>
              <w:rPr>
                <w:rFonts w:ascii="Arial" w:hAnsi="Arial" w:cs="Arial"/>
                <w:sz w:val="14"/>
                <w:szCs w:val="18"/>
              </w:rPr>
            </w:pPr>
            <w:r>
              <w:rPr>
                <w:rFonts w:ascii="Arial" w:hAnsi="Arial" w:cs="Arial"/>
                <w:sz w:val="14"/>
                <w:szCs w:val="18"/>
              </w:rPr>
              <w:t>Million yen</w:t>
            </w:r>
          </w:p>
        </w:tc>
        <w:tc>
          <w:tcPr>
            <w:tcW w:w="692" w:type="dxa"/>
            <w:tcBorders>
              <w:top w:val="single" w:sz="8" w:space="0" w:color="auto"/>
              <w:right w:val="single" w:sz="8" w:space="0" w:color="auto"/>
            </w:tcBorders>
            <w:vAlign w:val="center"/>
          </w:tcPr>
          <w:p w14:paraId="2BC87EA4" w14:textId="77777777" w:rsidR="00982915" w:rsidRDefault="00EB6F73">
            <w:pPr>
              <w:jc w:val="right"/>
              <w:rPr>
                <w:rFonts w:ascii="Arial" w:hAnsi="Arial" w:cs="Arial"/>
                <w:sz w:val="14"/>
                <w:szCs w:val="18"/>
              </w:rPr>
            </w:pPr>
            <w:r>
              <w:rPr>
                <w:rFonts w:ascii="Arial" w:hAnsi="Arial" w:cs="Arial"/>
                <w:sz w:val="14"/>
                <w:szCs w:val="18"/>
              </w:rPr>
              <w:t>%</w:t>
            </w:r>
          </w:p>
        </w:tc>
        <w:tc>
          <w:tcPr>
            <w:tcW w:w="1286" w:type="dxa"/>
            <w:tcBorders>
              <w:top w:val="single" w:sz="8" w:space="0" w:color="auto"/>
              <w:left w:val="single" w:sz="8" w:space="0" w:color="auto"/>
            </w:tcBorders>
            <w:vAlign w:val="center"/>
          </w:tcPr>
          <w:p w14:paraId="45AF233C" w14:textId="77777777" w:rsidR="00982915" w:rsidRDefault="00EB6F73">
            <w:pPr>
              <w:jc w:val="right"/>
              <w:rPr>
                <w:rFonts w:ascii="Arial" w:hAnsi="Arial" w:cs="Arial"/>
                <w:sz w:val="14"/>
                <w:szCs w:val="18"/>
              </w:rPr>
            </w:pPr>
            <w:r>
              <w:rPr>
                <w:rFonts w:ascii="Arial" w:hAnsi="Arial" w:cs="Arial"/>
                <w:sz w:val="14"/>
                <w:szCs w:val="18"/>
              </w:rPr>
              <w:t>Yen</w:t>
            </w:r>
          </w:p>
        </w:tc>
      </w:tr>
      <w:tr w:rsidR="00982915" w14:paraId="17971D42" w14:textId="77777777">
        <w:trPr>
          <w:trHeight w:val="210"/>
        </w:trPr>
        <w:tc>
          <w:tcPr>
            <w:tcW w:w="1108" w:type="dxa"/>
            <w:tcBorders>
              <w:right w:val="single" w:sz="8" w:space="0" w:color="auto"/>
            </w:tcBorders>
          </w:tcPr>
          <w:p w14:paraId="4DC59280" w14:textId="77777777" w:rsidR="00982915" w:rsidRDefault="00EB6F73">
            <w:pPr>
              <w:jc w:val="both"/>
              <w:rPr>
                <w:rFonts w:ascii="Arial" w:hAnsi="Arial" w:cs="Arial"/>
                <w:sz w:val="18"/>
                <w:szCs w:val="18"/>
              </w:rPr>
            </w:pPr>
            <w:r>
              <w:rPr>
                <w:rFonts w:ascii="Arial" w:hAnsi="Arial" w:cs="Arial"/>
                <w:sz w:val="18"/>
                <w:szCs w:val="18"/>
              </w:rPr>
              <w:t>Full Year</w:t>
            </w:r>
          </w:p>
        </w:tc>
        <w:tc>
          <w:tcPr>
            <w:tcW w:w="1187" w:type="dxa"/>
            <w:tcBorders>
              <w:left w:val="single" w:sz="8" w:space="0" w:color="auto"/>
            </w:tcBorders>
            <w:vAlign w:val="center"/>
          </w:tcPr>
          <w:p w14:paraId="2F9228F8" w14:textId="0567D352" w:rsidR="00982915" w:rsidRDefault="00982915">
            <w:pPr>
              <w:jc w:val="right"/>
              <w:rPr>
                <w:rFonts w:ascii="Arial" w:hAnsi="Arial" w:cs="Arial"/>
                <w:sz w:val="18"/>
                <w:szCs w:val="18"/>
              </w:rPr>
            </w:pPr>
          </w:p>
        </w:tc>
        <w:tc>
          <w:tcPr>
            <w:tcW w:w="707" w:type="dxa"/>
            <w:tcBorders>
              <w:right w:val="single" w:sz="8" w:space="0" w:color="auto"/>
            </w:tcBorders>
            <w:vAlign w:val="center"/>
          </w:tcPr>
          <w:p w14:paraId="153A7E39" w14:textId="5BA2F099" w:rsidR="00982915" w:rsidRDefault="00982915">
            <w:pPr>
              <w:jc w:val="right"/>
              <w:rPr>
                <w:rFonts w:ascii="Arial" w:hAnsi="Arial" w:cs="Arial"/>
                <w:sz w:val="18"/>
                <w:szCs w:val="18"/>
              </w:rPr>
            </w:pPr>
          </w:p>
        </w:tc>
        <w:tc>
          <w:tcPr>
            <w:tcW w:w="1173" w:type="dxa"/>
            <w:tcBorders>
              <w:left w:val="single" w:sz="8" w:space="0" w:color="auto"/>
            </w:tcBorders>
            <w:vAlign w:val="center"/>
          </w:tcPr>
          <w:p w14:paraId="0009192B" w14:textId="08BDEA94" w:rsidR="00982915" w:rsidRDefault="00982915">
            <w:pPr>
              <w:jc w:val="right"/>
              <w:rPr>
                <w:rFonts w:ascii="Arial" w:hAnsi="Arial" w:cs="Arial"/>
                <w:sz w:val="18"/>
                <w:szCs w:val="18"/>
              </w:rPr>
            </w:pPr>
          </w:p>
        </w:tc>
        <w:tc>
          <w:tcPr>
            <w:tcW w:w="890" w:type="dxa"/>
            <w:tcBorders>
              <w:right w:val="single" w:sz="8" w:space="0" w:color="auto"/>
            </w:tcBorders>
            <w:vAlign w:val="center"/>
          </w:tcPr>
          <w:p w14:paraId="78172C88" w14:textId="53B050CA" w:rsidR="00982915" w:rsidRDefault="00982915">
            <w:pPr>
              <w:jc w:val="right"/>
              <w:rPr>
                <w:rFonts w:ascii="Arial" w:hAnsi="Arial" w:cs="Arial"/>
                <w:sz w:val="18"/>
                <w:szCs w:val="18"/>
              </w:rPr>
            </w:pPr>
          </w:p>
        </w:tc>
        <w:tc>
          <w:tcPr>
            <w:tcW w:w="1286" w:type="dxa"/>
            <w:tcBorders>
              <w:left w:val="single" w:sz="8" w:space="0" w:color="auto"/>
            </w:tcBorders>
            <w:vAlign w:val="center"/>
          </w:tcPr>
          <w:p w14:paraId="2C145A2A" w14:textId="38BFE385" w:rsidR="00982915" w:rsidRDefault="00982915">
            <w:pPr>
              <w:jc w:val="right"/>
              <w:rPr>
                <w:rFonts w:ascii="Arial" w:hAnsi="Arial" w:cs="Arial"/>
                <w:sz w:val="18"/>
                <w:szCs w:val="18"/>
              </w:rPr>
            </w:pPr>
          </w:p>
        </w:tc>
        <w:tc>
          <w:tcPr>
            <w:tcW w:w="791" w:type="dxa"/>
            <w:tcBorders>
              <w:right w:val="single" w:sz="8" w:space="0" w:color="auto"/>
            </w:tcBorders>
            <w:vAlign w:val="center"/>
          </w:tcPr>
          <w:p w14:paraId="23D3CF02" w14:textId="246F4E0E" w:rsidR="00982915" w:rsidRDefault="00982915">
            <w:pPr>
              <w:jc w:val="right"/>
              <w:rPr>
                <w:rFonts w:ascii="Arial" w:hAnsi="Arial" w:cs="Arial"/>
                <w:sz w:val="18"/>
                <w:szCs w:val="18"/>
              </w:rPr>
            </w:pPr>
          </w:p>
        </w:tc>
        <w:tc>
          <w:tcPr>
            <w:tcW w:w="1286" w:type="dxa"/>
            <w:tcBorders>
              <w:left w:val="single" w:sz="8" w:space="0" w:color="auto"/>
            </w:tcBorders>
            <w:vAlign w:val="center"/>
          </w:tcPr>
          <w:p w14:paraId="0FB939B9" w14:textId="593AF1E1" w:rsidR="00982915" w:rsidRDefault="00982915">
            <w:pPr>
              <w:jc w:val="right"/>
              <w:rPr>
                <w:rFonts w:ascii="Arial" w:hAnsi="Arial" w:cs="Arial"/>
                <w:sz w:val="18"/>
                <w:szCs w:val="18"/>
              </w:rPr>
            </w:pPr>
          </w:p>
        </w:tc>
        <w:tc>
          <w:tcPr>
            <w:tcW w:w="692" w:type="dxa"/>
            <w:tcBorders>
              <w:right w:val="single" w:sz="8" w:space="0" w:color="auto"/>
            </w:tcBorders>
            <w:vAlign w:val="center"/>
          </w:tcPr>
          <w:p w14:paraId="4FE8384F" w14:textId="669D2C6F" w:rsidR="00982915" w:rsidRDefault="00982915">
            <w:pPr>
              <w:jc w:val="right"/>
              <w:rPr>
                <w:rFonts w:ascii="Arial" w:hAnsi="Arial" w:cs="Arial"/>
                <w:sz w:val="18"/>
                <w:szCs w:val="18"/>
              </w:rPr>
            </w:pPr>
          </w:p>
        </w:tc>
        <w:tc>
          <w:tcPr>
            <w:tcW w:w="1286" w:type="dxa"/>
            <w:tcBorders>
              <w:left w:val="single" w:sz="8" w:space="0" w:color="auto"/>
            </w:tcBorders>
            <w:vAlign w:val="center"/>
          </w:tcPr>
          <w:p w14:paraId="1AC52131" w14:textId="44F9B5C0" w:rsidR="00982915" w:rsidRDefault="00982915">
            <w:pPr>
              <w:jc w:val="right"/>
              <w:rPr>
                <w:rFonts w:ascii="Arial" w:hAnsi="Arial" w:cs="Arial"/>
                <w:sz w:val="18"/>
                <w:szCs w:val="18"/>
              </w:rPr>
            </w:pPr>
          </w:p>
        </w:tc>
      </w:tr>
    </w:tbl>
    <w:p w14:paraId="1B4A3942" w14:textId="77777777" w:rsidR="00982915" w:rsidRDefault="00EB6F73">
      <w:pPr>
        <w:spacing w:after="0" w:line="240" w:lineRule="auto"/>
        <w:jc w:val="both"/>
        <w:rPr>
          <w:rFonts w:ascii="Arial" w:hAnsi="Arial" w:cs="Arial"/>
          <w:sz w:val="18"/>
          <w:szCs w:val="20"/>
        </w:rPr>
      </w:pPr>
      <w:r>
        <w:rPr>
          <w:rFonts w:ascii="Arial" w:hAnsi="Arial" w:cs="Arial"/>
          <w:sz w:val="18"/>
          <w:szCs w:val="20"/>
        </w:rPr>
        <w:t>(Note)</w:t>
      </w:r>
      <w:r>
        <w:rPr>
          <w:rFonts w:ascii="Arial" w:hAnsi="Arial" w:cs="Arial"/>
          <w:sz w:val="18"/>
          <w:szCs w:val="20"/>
        </w:rPr>
        <w:tab/>
        <w:t>Corrections regarding current consolidated forecast figures: None</w:t>
      </w:r>
    </w:p>
    <w:p w14:paraId="09834902" w14:textId="77777777" w:rsidR="00982915" w:rsidRDefault="00EB6F73">
      <w:pPr>
        <w:spacing w:after="0" w:line="240" w:lineRule="auto"/>
        <w:ind w:left="720" w:hanging="720"/>
        <w:jc w:val="both"/>
        <w:rPr>
          <w:rFonts w:ascii="Arial" w:hAnsi="Arial" w:cs="Arial"/>
          <w:sz w:val="18"/>
          <w:szCs w:val="20"/>
        </w:rPr>
      </w:pPr>
      <w:r>
        <w:rPr>
          <w:rFonts w:ascii="Arial" w:hAnsi="Arial" w:cs="Arial"/>
          <w:sz w:val="18"/>
          <w:szCs w:val="20"/>
        </w:rPr>
        <w:t>(Note)</w:t>
      </w:r>
      <w:r>
        <w:rPr>
          <w:rFonts w:ascii="Arial" w:hAnsi="Arial" w:cs="Arial"/>
          <w:sz w:val="18"/>
          <w:szCs w:val="20"/>
        </w:rPr>
        <w:tab/>
        <w:t>Year-on-year percentage changes reflect retroactive adjustments in accordance with changes in accounting principles.</w:t>
      </w:r>
    </w:p>
    <w:p w14:paraId="0C9495C4" w14:textId="77777777" w:rsidR="00982915" w:rsidRDefault="00982915">
      <w:pPr>
        <w:spacing w:after="0" w:line="240" w:lineRule="auto"/>
        <w:ind w:left="720" w:hanging="720"/>
        <w:jc w:val="both"/>
        <w:rPr>
          <w:rFonts w:ascii="Arial" w:hAnsi="Arial" w:cs="Arial"/>
          <w:sz w:val="20"/>
          <w:szCs w:val="20"/>
        </w:rPr>
      </w:pPr>
    </w:p>
    <w:p w14:paraId="3B4230FB" w14:textId="77777777" w:rsidR="00982915" w:rsidRDefault="00982915">
      <w:pPr>
        <w:spacing w:after="0" w:line="240" w:lineRule="auto"/>
        <w:ind w:left="720" w:hanging="720"/>
        <w:jc w:val="both"/>
        <w:rPr>
          <w:rFonts w:ascii="Arial" w:hAnsi="Arial" w:cs="Arial"/>
          <w:sz w:val="20"/>
          <w:szCs w:val="20"/>
        </w:rPr>
      </w:pPr>
    </w:p>
    <w:p w14:paraId="755DF089" w14:textId="77777777" w:rsidR="00982915" w:rsidRDefault="00EB6F73">
      <w:pPr>
        <w:spacing w:after="0" w:line="240" w:lineRule="auto"/>
        <w:jc w:val="both"/>
        <w:rPr>
          <w:rFonts w:ascii="Arial" w:hAnsi="Arial" w:cs="Arial"/>
          <w:b/>
          <w:sz w:val="21"/>
          <w:szCs w:val="20"/>
        </w:rPr>
      </w:pPr>
      <w:r>
        <w:rPr>
          <w:rFonts w:ascii="Arial" w:hAnsi="Arial" w:cs="Arial"/>
          <w:b/>
          <w:sz w:val="21"/>
          <w:szCs w:val="20"/>
        </w:rPr>
        <w:t>* Note</w:t>
      </w:r>
    </w:p>
    <w:p w14:paraId="2FE1B26E" w14:textId="77777777" w:rsidR="00982915" w:rsidRDefault="00EB6F73">
      <w:pPr>
        <w:spacing w:after="0" w:line="240" w:lineRule="auto"/>
        <w:ind w:left="284" w:hanging="295"/>
        <w:jc w:val="both"/>
        <w:rPr>
          <w:rFonts w:ascii="Arial" w:hAnsi="Arial" w:cs="Arial"/>
          <w:sz w:val="20"/>
          <w:szCs w:val="20"/>
        </w:rPr>
      </w:pPr>
      <w:r>
        <w:rPr>
          <w:rFonts w:ascii="Arial" w:hAnsi="Arial" w:cs="Arial"/>
          <w:sz w:val="20"/>
          <w:szCs w:val="20"/>
        </w:rPr>
        <w:t>(1)</w:t>
      </w:r>
      <w:r>
        <w:rPr>
          <w:rFonts w:ascii="Arial" w:hAnsi="Arial" w:cs="Arial"/>
          <w:sz w:val="20"/>
          <w:szCs w:val="20"/>
        </w:rPr>
        <w:tab/>
        <w:t>Important changes of subsidiaries during the term (changes of specified subsidiaries that lead to a change in the scope of consolidation): None</w:t>
      </w:r>
    </w:p>
    <w:p w14:paraId="0086E6C7" w14:textId="77777777" w:rsidR="00982915" w:rsidRDefault="00982915">
      <w:pPr>
        <w:spacing w:after="0" w:line="240" w:lineRule="auto"/>
        <w:ind w:left="284" w:hanging="295"/>
        <w:jc w:val="both"/>
        <w:rPr>
          <w:rFonts w:ascii="Arial" w:hAnsi="Arial" w:cs="Arial"/>
          <w:sz w:val="20"/>
          <w:szCs w:val="20"/>
        </w:rPr>
      </w:pPr>
    </w:p>
    <w:p w14:paraId="52501857" w14:textId="77777777" w:rsidR="00982915" w:rsidRDefault="00EB6F73">
      <w:pPr>
        <w:spacing w:after="0" w:line="240" w:lineRule="auto"/>
        <w:ind w:left="284" w:hanging="295"/>
        <w:jc w:val="both"/>
        <w:rPr>
          <w:rFonts w:ascii="Arial" w:hAnsi="Arial" w:cs="Arial"/>
          <w:sz w:val="20"/>
          <w:szCs w:val="20"/>
        </w:rPr>
      </w:pPr>
      <w:r>
        <w:rPr>
          <w:rFonts w:ascii="Arial" w:hAnsi="Arial" w:cs="Arial"/>
          <w:sz w:val="20"/>
          <w:szCs w:val="20"/>
        </w:rPr>
        <w:t>(2)</w:t>
      </w:r>
      <w:r>
        <w:rPr>
          <w:rFonts w:ascii="Arial" w:hAnsi="Arial" w:cs="Arial"/>
          <w:sz w:val="20"/>
          <w:szCs w:val="20"/>
        </w:rPr>
        <w:tab/>
        <w:t>Application of accounting principles and procedures specific in preparation of consolidated quarterly financial statements: No</w:t>
      </w:r>
    </w:p>
    <w:p w14:paraId="65C29659" w14:textId="77777777" w:rsidR="00982915" w:rsidRDefault="00982915">
      <w:pPr>
        <w:spacing w:after="0" w:line="240" w:lineRule="auto"/>
        <w:ind w:left="284" w:hanging="295"/>
        <w:jc w:val="both"/>
        <w:rPr>
          <w:rFonts w:ascii="Arial" w:hAnsi="Arial" w:cs="Arial"/>
          <w:sz w:val="20"/>
          <w:szCs w:val="20"/>
        </w:rPr>
      </w:pPr>
    </w:p>
    <w:p w14:paraId="750ECA57" w14:textId="77777777" w:rsidR="00982915" w:rsidRDefault="00EB6F73">
      <w:pPr>
        <w:spacing w:after="0" w:line="240" w:lineRule="auto"/>
        <w:ind w:left="284" w:hanging="295"/>
        <w:jc w:val="both"/>
        <w:rPr>
          <w:rFonts w:ascii="Arial" w:hAnsi="Arial" w:cs="Arial"/>
          <w:sz w:val="20"/>
          <w:szCs w:val="20"/>
        </w:rPr>
      </w:pPr>
      <w:r>
        <w:rPr>
          <w:rFonts w:ascii="Arial" w:hAnsi="Arial" w:cs="Arial"/>
          <w:sz w:val="20"/>
          <w:szCs w:val="20"/>
        </w:rPr>
        <w:t>(3)</w:t>
      </w:r>
      <w:r>
        <w:rPr>
          <w:rFonts w:ascii="Arial" w:hAnsi="Arial" w:cs="Arial"/>
          <w:sz w:val="20"/>
          <w:szCs w:val="20"/>
        </w:rPr>
        <w:tab/>
        <w:t>Changes in accounting principles, changes in accounting estimates and restatements</w:t>
      </w:r>
    </w:p>
    <w:p w14:paraId="53756F07" w14:textId="77777777" w:rsidR="00982915" w:rsidRDefault="00EB6F73">
      <w:pPr>
        <w:spacing w:after="0" w:line="240" w:lineRule="auto"/>
        <w:ind w:left="284"/>
        <w:jc w:val="both"/>
        <w:rPr>
          <w:rFonts w:ascii="Arial" w:hAnsi="Arial" w:cs="Arial"/>
          <w:sz w:val="20"/>
          <w:szCs w:val="20"/>
        </w:rPr>
      </w:pPr>
      <w:r>
        <w:rPr>
          <w:rFonts w:ascii="Arial" w:hAnsi="Arial" w:cs="Arial"/>
          <w:sz w:val="20"/>
          <w:szCs w:val="20"/>
        </w:rPr>
        <w:t>1) Changes in accounting principles accompanying revisions in accounting standards, etc.: Yes</w:t>
      </w:r>
    </w:p>
    <w:p w14:paraId="5B315075" w14:textId="77777777" w:rsidR="00982915" w:rsidRDefault="00EB6F73">
      <w:pPr>
        <w:spacing w:after="0" w:line="240" w:lineRule="auto"/>
        <w:ind w:left="284"/>
        <w:jc w:val="both"/>
        <w:rPr>
          <w:rFonts w:ascii="Arial" w:hAnsi="Arial" w:cs="Arial"/>
          <w:sz w:val="20"/>
          <w:szCs w:val="20"/>
        </w:rPr>
      </w:pPr>
      <w:r>
        <w:rPr>
          <w:rFonts w:ascii="Arial" w:hAnsi="Arial" w:cs="Arial"/>
          <w:sz w:val="20"/>
          <w:szCs w:val="20"/>
        </w:rPr>
        <w:t>2) Change other than 1): No</w:t>
      </w:r>
    </w:p>
    <w:p w14:paraId="0DE88E72" w14:textId="77777777" w:rsidR="00982915" w:rsidRDefault="00EB6F73">
      <w:pPr>
        <w:spacing w:after="0" w:line="240" w:lineRule="auto"/>
        <w:ind w:left="284"/>
        <w:jc w:val="both"/>
        <w:rPr>
          <w:rFonts w:ascii="Arial" w:hAnsi="Arial" w:cs="Arial"/>
          <w:sz w:val="20"/>
          <w:szCs w:val="20"/>
        </w:rPr>
      </w:pPr>
      <w:r>
        <w:rPr>
          <w:rFonts w:ascii="Arial" w:hAnsi="Arial" w:cs="Arial"/>
          <w:sz w:val="20"/>
          <w:szCs w:val="20"/>
        </w:rPr>
        <w:t>3) Changes in accounting estimates: No</w:t>
      </w:r>
    </w:p>
    <w:p w14:paraId="2DAD5B25" w14:textId="77777777" w:rsidR="00982915" w:rsidRDefault="00EB6F73">
      <w:pPr>
        <w:spacing w:after="0" w:line="240" w:lineRule="auto"/>
        <w:ind w:left="284"/>
        <w:jc w:val="both"/>
        <w:rPr>
          <w:rFonts w:ascii="Arial" w:hAnsi="Arial" w:cs="Arial"/>
          <w:sz w:val="20"/>
          <w:szCs w:val="20"/>
        </w:rPr>
      </w:pPr>
      <w:r>
        <w:rPr>
          <w:rFonts w:ascii="Arial" w:hAnsi="Arial" w:cs="Arial"/>
          <w:sz w:val="20"/>
          <w:szCs w:val="20"/>
        </w:rPr>
        <w:t>4) Restatements: No</w:t>
      </w:r>
    </w:p>
    <w:p w14:paraId="6E8E68F7" w14:textId="77777777" w:rsidR="00982915" w:rsidRDefault="00EB6F73">
      <w:pPr>
        <w:spacing w:after="0" w:line="240" w:lineRule="auto"/>
        <w:ind w:left="284"/>
        <w:jc w:val="both"/>
        <w:rPr>
          <w:rFonts w:ascii="Arial" w:hAnsi="Arial" w:cs="Arial"/>
          <w:sz w:val="20"/>
          <w:szCs w:val="20"/>
        </w:rPr>
      </w:pPr>
      <w:r>
        <w:rPr>
          <w:rFonts w:ascii="Arial" w:hAnsi="Arial" w:cs="Arial"/>
          <w:sz w:val="20"/>
          <w:szCs w:val="20"/>
        </w:rPr>
        <w:t>(Note) For details, please refer to “3. Changes in Accounting Principles, Changes in Accounting Estimates and Restatements” under “II. Summary Information (Notes)” on page 5 of the attachment.</w:t>
      </w:r>
    </w:p>
    <w:p w14:paraId="685DB35B" w14:textId="77777777" w:rsidR="00982915" w:rsidRDefault="00982915">
      <w:pPr>
        <w:spacing w:after="0" w:line="240" w:lineRule="auto"/>
        <w:ind w:left="284" w:hanging="295"/>
        <w:jc w:val="both"/>
        <w:rPr>
          <w:rFonts w:ascii="Arial" w:hAnsi="Arial" w:cs="Arial"/>
          <w:sz w:val="20"/>
          <w:szCs w:val="20"/>
        </w:rPr>
      </w:pPr>
    </w:p>
    <w:p w14:paraId="6DB68BFD" w14:textId="77777777" w:rsidR="00982915" w:rsidRDefault="00EB6F73">
      <w:pPr>
        <w:spacing w:after="0" w:line="240" w:lineRule="auto"/>
        <w:ind w:left="284" w:hanging="295"/>
        <w:jc w:val="both"/>
        <w:rPr>
          <w:rFonts w:ascii="Arial" w:hAnsi="Arial" w:cs="Arial"/>
          <w:sz w:val="20"/>
          <w:szCs w:val="20"/>
        </w:rPr>
      </w:pPr>
      <w:r>
        <w:rPr>
          <w:rFonts w:ascii="Arial" w:hAnsi="Arial" w:cs="Arial"/>
          <w:sz w:val="20"/>
          <w:szCs w:val="20"/>
        </w:rPr>
        <w:t>(4)</w:t>
      </w:r>
      <w:r>
        <w:rPr>
          <w:rFonts w:ascii="Arial" w:hAnsi="Arial" w:cs="Arial"/>
          <w:sz w:val="20"/>
          <w:szCs w:val="20"/>
        </w:rPr>
        <w:tab/>
        <w:t>Number of shares issued (common share)</w:t>
      </w:r>
    </w:p>
    <w:p w14:paraId="0F255243" w14:textId="77777777" w:rsidR="00982915" w:rsidRDefault="00EB6F73">
      <w:pPr>
        <w:spacing w:after="0" w:line="240" w:lineRule="auto"/>
        <w:ind w:leftChars="100" w:left="220"/>
        <w:jc w:val="both"/>
        <w:rPr>
          <w:rFonts w:ascii="Arial" w:hAnsi="Arial" w:cs="Arial"/>
          <w:sz w:val="20"/>
          <w:szCs w:val="20"/>
        </w:rPr>
      </w:pPr>
      <w:r>
        <w:rPr>
          <w:rFonts w:ascii="Arial" w:hAnsi="Arial" w:cs="Arial"/>
          <w:sz w:val="20"/>
          <w:szCs w:val="20"/>
        </w:rPr>
        <w:t>1) Number of shares issued at end of term (including treasury shares)</w:t>
      </w:r>
    </w:p>
    <w:p w14:paraId="25D196CE" w14:textId="159CA030" w:rsidR="00982915" w:rsidRDefault="00EB6F73">
      <w:pPr>
        <w:spacing w:after="0" w:line="240" w:lineRule="auto"/>
        <w:ind w:leftChars="200" w:left="440"/>
        <w:jc w:val="both"/>
        <w:rPr>
          <w:rFonts w:ascii="Arial" w:hAnsi="Arial" w:cs="Arial"/>
          <w:sz w:val="20"/>
          <w:szCs w:val="20"/>
        </w:rPr>
      </w:pPr>
      <w:r>
        <w:rPr>
          <w:rFonts w:ascii="Arial" w:hAnsi="Arial" w:cs="Arial"/>
          <w:sz w:val="20"/>
          <w:szCs w:val="20"/>
        </w:rPr>
        <w:t xml:space="preserve">9 Months Ended Sept. 30, 2015: </w:t>
      </w:r>
      <w:proofErr w:type="spellStart"/>
      <w:proofErr w:type="gramStart"/>
      <w:r w:rsidR="00324087">
        <w:rPr>
          <w:rFonts w:ascii="Arial" w:hAnsi="Arial" w:cs="Arial"/>
          <w:sz w:val="20"/>
          <w:szCs w:val="20"/>
        </w:rPr>
        <w:t>XX,XXX</w:t>
      </w:r>
      <w:proofErr w:type="gramEnd"/>
      <w:r w:rsidR="00324087">
        <w:rPr>
          <w:rFonts w:ascii="Arial" w:hAnsi="Arial" w:cs="Arial"/>
          <w:sz w:val="20"/>
          <w:szCs w:val="20"/>
        </w:rPr>
        <w:t>,XXX</w:t>
      </w:r>
      <w:proofErr w:type="spellEnd"/>
      <w:r>
        <w:rPr>
          <w:rFonts w:ascii="Arial" w:hAnsi="Arial" w:cs="Arial"/>
          <w:sz w:val="20"/>
          <w:szCs w:val="20"/>
        </w:rPr>
        <w:t xml:space="preserve"> shares</w:t>
      </w:r>
    </w:p>
    <w:p w14:paraId="749314BB" w14:textId="4E25945F" w:rsidR="00982915" w:rsidRDefault="00EB6F73">
      <w:pPr>
        <w:spacing w:after="0" w:line="240" w:lineRule="auto"/>
        <w:ind w:leftChars="200" w:left="440"/>
        <w:jc w:val="both"/>
        <w:rPr>
          <w:rFonts w:ascii="Arial" w:hAnsi="Arial" w:cs="Arial"/>
          <w:sz w:val="20"/>
          <w:szCs w:val="20"/>
        </w:rPr>
      </w:pPr>
      <w:r>
        <w:rPr>
          <w:rFonts w:ascii="Arial" w:hAnsi="Arial" w:cs="Arial"/>
          <w:sz w:val="20"/>
          <w:szCs w:val="20"/>
        </w:rPr>
        <w:t xml:space="preserve">FY2014: </w:t>
      </w:r>
      <w:proofErr w:type="spellStart"/>
      <w:proofErr w:type="gramStart"/>
      <w:r w:rsidR="00324087">
        <w:rPr>
          <w:rFonts w:ascii="Arial" w:hAnsi="Arial" w:cs="Arial"/>
          <w:sz w:val="20"/>
          <w:szCs w:val="20"/>
        </w:rPr>
        <w:t>XX</w:t>
      </w:r>
      <w:r>
        <w:rPr>
          <w:rFonts w:ascii="Arial" w:hAnsi="Arial" w:cs="Arial"/>
          <w:sz w:val="20"/>
          <w:szCs w:val="20"/>
        </w:rPr>
        <w:t>,</w:t>
      </w:r>
      <w:r w:rsidR="00324087">
        <w:rPr>
          <w:rFonts w:ascii="Arial" w:hAnsi="Arial" w:cs="Arial"/>
          <w:sz w:val="20"/>
          <w:szCs w:val="20"/>
        </w:rPr>
        <w:t>XXX</w:t>
      </w:r>
      <w:proofErr w:type="gramEnd"/>
      <w:r>
        <w:rPr>
          <w:rFonts w:ascii="Arial" w:hAnsi="Arial" w:cs="Arial"/>
          <w:sz w:val="20"/>
          <w:szCs w:val="20"/>
        </w:rPr>
        <w:t>,</w:t>
      </w:r>
      <w:r w:rsidR="00324087">
        <w:rPr>
          <w:rFonts w:ascii="Arial" w:hAnsi="Arial" w:cs="Arial"/>
          <w:sz w:val="20"/>
          <w:szCs w:val="20"/>
        </w:rPr>
        <w:t>XXX</w:t>
      </w:r>
      <w:proofErr w:type="spellEnd"/>
      <w:r>
        <w:rPr>
          <w:rFonts w:ascii="Arial" w:hAnsi="Arial" w:cs="Arial"/>
          <w:sz w:val="20"/>
          <w:szCs w:val="20"/>
        </w:rPr>
        <w:t xml:space="preserve"> shares</w:t>
      </w:r>
    </w:p>
    <w:p w14:paraId="498F371B" w14:textId="77777777" w:rsidR="00982915" w:rsidRDefault="00EB6F73">
      <w:pPr>
        <w:spacing w:after="0" w:line="240" w:lineRule="auto"/>
        <w:ind w:leftChars="100" w:left="220"/>
        <w:jc w:val="both"/>
        <w:rPr>
          <w:rFonts w:ascii="Arial" w:hAnsi="Arial" w:cs="Arial"/>
          <w:sz w:val="20"/>
          <w:szCs w:val="20"/>
        </w:rPr>
      </w:pPr>
      <w:r>
        <w:rPr>
          <w:rFonts w:ascii="Arial" w:hAnsi="Arial" w:cs="Arial"/>
          <w:sz w:val="20"/>
          <w:szCs w:val="20"/>
        </w:rPr>
        <w:t>2) Number of treasury shares at end of term</w:t>
      </w:r>
    </w:p>
    <w:p w14:paraId="1641D350" w14:textId="208FAC96" w:rsidR="00982915" w:rsidRDefault="00EB6F73">
      <w:pPr>
        <w:spacing w:after="0" w:line="240" w:lineRule="auto"/>
        <w:ind w:leftChars="200" w:left="440"/>
        <w:jc w:val="both"/>
        <w:rPr>
          <w:rFonts w:ascii="Arial" w:hAnsi="Arial" w:cs="Arial"/>
          <w:sz w:val="20"/>
          <w:szCs w:val="20"/>
        </w:rPr>
      </w:pPr>
      <w:r>
        <w:rPr>
          <w:rFonts w:ascii="Arial" w:hAnsi="Arial" w:cs="Arial"/>
          <w:sz w:val="20"/>
          <w:szCs w:val="20"/>
        </w:rPr>
        <w:t xml:space="preserve">9 Months Ended Sept. 30, 2015: </w:t>
      </w:r>
      <w:proofErr w:type="spellStart"/>
      <w:proofErr w:type="gramStart"/>
      <w:r w:rsidR="00324087">
        <w:rPr>
          <w:rFonts w:ascii="Arial" w:hAnsi="Arial" w:cs="Arial"/>
          <w:sz w:val="20"/>
          <w:szCs w:val="20"/>
        </w:rPr>
        <w:t>XX</w:t>
      </w:r>
      <w:r>
        <w:rPr>
          <w:rFonts w:ascii="Arial" w:hAnsi="Arial" w:cs="Arial"/>
          <w:sz w:val="20"/>
          <w:szCs w:val="20"/>
        </w:rPr>
        <w:t>,</w:t>
      </w:r>
      <w:r w:rsidR="00324087">
        <w:rPr>
          <w:rFonts w:ascii="Arial" w:hAnsi="Arial" w:cs="Arial"/>
          <w:sz w:val="20"/>
          <w:szCs w:val="20"/>
        </w:rPr>
        <w:t>XXX</w:t>
      </w:r>
      <w:proofErr w:type="spellEnd"/>
      <w:proofErr w:type="gramEnd"/>
      <w:r>
        <w:rPr>
          <w:rFonts w:ascii="Arial" w:hAnsi="Arial" w:cs="Arial"/>
          <w:sz w:val="20"/>
          <w:szCs w:val="20"/>
        </w:rPr>
        <w:t xml:space="preserve"> shares</w:t>
      </w:r>
    </w:p>
    <w:p w14:paraId="765468FE" w14:textId="68A6E53A" w:rsidR="00982915" w:rsidRDefault="00EB6F73">
      <w:pPr>
        <w:spacing w:after="0" w:line="240" w:lineRule="auto"/>
        <w:ind w:leftChars="200" w:left="440"/>
        <w:jc w:val="both"/>
        <w:rPr>
          <w:rFonts w:ascii="Arial" w:hAnsi="Arial" w:cs="Arial"/>
          <w:sz w:val="20"/>
          <w:szCs w:val="20"/>
        </w:rPr>
      </w:pPr>
      <w:r>
        <w:rPr>
          <w:rFonts w:ascii="Arial" w:hAnsi="Arial" w:cs="Arial"/>
          <w:sz w:val="20"/>
          <w:szCs w:val="20"/>
        </w:rPr>
        <w:t xml:space="preserve">FY2014: </w:t>
      </w:r>
      <w:proofErr w:type="spellStart"/>
      <w:proofErr w:type="gramStart"/>
      <w:r w:rsidR="00324087">
        <w:rPr>
          <w:rFonts w:ascii="Arial" w:hAnsi="Arial" w:cs="Arial"/>
          <w:sz w:val="20"/>
          <w:szCs w:val="20"/>
        </w:rPr>
        <w:t>XXX</w:t>
      </w:r>
      <w:r>
        <w:rPr>
          <w:rFonts w:ascii="Arial" w:hAnsi="Arial" w:cs="Arial"/>
          <w:sz w:val="20"/>
          <w:szCs w:val="20"/>
        </w:rPr>
        <w:t>,</w:t>
      </w:r>
      <w:r w:rsidR="00324087">
        <w:rPr>
          <w:rFonts w:ascii="Arial" w:hAnsi="Arial" w:cs="Arial"/>
          <w:sz w:val="20"/>
          <w:szCs w:val="20"/>
        </w:rPr>
        <w:t>XXX</w:t>
      </w:r>
      <w:proofErr w:type="spellEnd"/>
      <w:proofErr w:type="gramEnd"/>
      <w:r>
        <w:rPr>
          <w:rFonts w:ascii="Arial" w:hAnsi="Arial" w:cs="Arial"/>
          <w:sz w:val="20"/>
          <w:szCs w:val="20"/>
        </w:rPr>
        <w:t xml:space="preserve"> shares</w:t>
      </w:r>
    </w:p>
    <w:p w14:paraId="1F4CDCAD" w14:textId="77777777" w:rsidR="00982915" w:rsidRDefault="00EB6F73">
      <w:pPr>
        <w:spacing w:after="0" w:line="240" w:lineRule="auto"/>
        <w:ind w:leftChars="100" w:left="220"/>
        <w:jc w:val="both"/>
        <w:rPr>
          <w:rFonts w:ascii="Arial" w:hAnsi="Arial" w:cs="Arial"/>
          <w:sz w:val="20"/>
          <w:szCs w:val="20"/>
        </w:rPr>
      </w:pPr>
      <w:r>
        <w:rPr>
          <w:rFonts w:ascii="Arial" w:hAnsi="Arial" w:cs="Arial"/>
          <w:sz w:val="20"/>
          <w:szCs w:val="20"/>
        </w:rPr>
        <w:t>3) Average number of outstanding shares during the period (Accumulative figures for quarter)</w:t>
      </w:r>
    </w:p>
    <w:p w14:paraId="62BA8AD3" w14:textId="46701D3C" w:rsidR="00982915" w:rsidRDefault="00EB6F73">
      <w:pPr>
        <w:spacing w:after="0" w:line="240" w:lineRule="auto"/>
        <w:ind w:leftChars="200" w:left="440"/>
        <w:jc w:val="both"/>
        <w:rPr>
          <w:rFonts w:ascii="Arial" w:hAnsi="Arial" w:cs="Arial"/>
          <w:sz w:val="20"/>
          <w:szCs w:val="20"/>
        </w:rPr>
      </w:pPr>
      <w:r>
        <w:rPr>
          <w:rFonts w:ascii="Arial" w:hAnsi="Arial" w:cs="Arial"/>
          <w:sz w:val="20"/>
          <w:szCs w:val="20"/>
        </w:rPr>
        <w:t xml:space="preserve">9 Months Ended Sept. 30, 2015: </w:t>
      </w:r>
      <w:proofErr w:type="spellStart"/>
      <w:proofErr w:type="gramStart"/>
      <w:r w:rsidR="00324087">
        <w:rPr>
          <w:rFonts w:ascii="Arial" w:hAnsi="Arial" w:cs="Arial"/>
          <w:sz w:val="20"/>
          <w:szCs w:val="20"/>
        </w:rPr>
        <w:t>XX</w:t>
      </w:r>
      <w:r>
        <w:rPr>
          <w:rFonts w:ascii="Arial" w:hAnsi="Arial" w:cs="Arial"/>
          <w:sz w:val="20"/>
          <w:szCs w:val="20"/>
        </w:rPr>
        <w:t>,</w:t>
      </w:r>
      <w:r w:rsidR="00324087">
        <w:rPr>
          <w:rFonts w:ascii="Arial" w:hAnsi="Arial" w:cs="Arial"/>
          <w:sz w:val="20"/>
          <w:szCs w:val="20"/>
        </w:rPr>
        <w:t>XXX</w:t>
      </w:r>
      <w:proofErr w:type="gramEnd"/>
      <w:r>
        <w:rPr>
          <w:rFonts w:ascii="Arial" w:hAnsi="Arial" w:cs="Arial"/>
          <w:sz w:val="20"/>
          <w:szCs w:val="20"/>
        </w:rPr>
        <w:t>,</w:t>
      </w:r>
      <w:r w:rsidR="00324087">
        <w:rPr>
          <w:rFonts w:ascii="Arial" w:hAnsi="Arial" w:cs="Arial"/>
          <w:sz w:val="20"/>
          <w:szCs w:val="20"/>
        </w:rPr>
        <w:t>XXX</w:t>
      </w:r>
      <w:proofErr w:type="spellEnd"/>
      <w:r>
        <w:rPr>
          <w:rFonts w:ascii="Arial" w:hAnsi="Arial" w:cs="Arial"/>
          <w:sz w:val="20"/>
          <w:szCs w:val="20"/>
        </w:rPr>
        <w:t xml:space="preserve"> shares</w:t>
      </w:r>
    </w:p>
    <w:p w14:paraId="296CA06A" w14:textId="71742B95" w:rsidR="00982915" w:rsidRDefault="00EB6F73">
      <w:pPr>
        <w:spacing w:after="0" w:line="240" w:lineRule="auto"/>
        <w:ind w:leftChars="200" w:left="440"/>
        <w:jc w:val="both"/>
        <w:rPr>
          <w:rFonts w:ascii="Arial" w:hAnsi="Arial" w:cs="Arial"/>
          <w:sz w:val="20"/>
          <w:szCs w:val="20"/>
        </w:rPr>
      </w:pPr>
      <w:r>
        <w:rPr>
          <w:rFonts w:ascii="Arial" w:hAnsi="Arial" w:cs="Arial"/>
          <w:sz w:val="20"/>
          <w:szCs w:val="20"/>
        </w:rPr>
        <w:t xml:space="preserve">6 Months Ended June 30, 2014: </w:t>
      </w:r>
      <w:proofErr w:type="spellStart"/>
      <w:proofErr w:type="gramStart"/>
      <w:r w:rsidR="00324087">
        <w:rPr>
          <w:rFonts w:ascii="Arial" w:hAnsi="Arial" w:cs="Arial"/>
          <w:sz w:val="20"/>
          <w:szCs w:val="20"/>
        </w:rPr>
        <w:t>XX</w:t>
      </w:r>
      <w:r>
        <w:rPr>
          <w:rFonts w:ascii="Arial" w:hAnsi="Arial" w:cs="Arial"/>
          <w:sz w:val="20"/>
          <w:szCs w:val="20"/>
        </w:rPr>
        <w:t>,</w:t>
      </w:r>
      <w:r w:rsidR="00324087">
        <w:rPr>
          <w:rFonts w:ascii="Arial" w:hAnsi="Arial" w:cs="Arial"/>
          <w:sz w:val="20"/>
          <w:szCs w:val="20"/>
        </w:rPr>
        <w:t>XXX</w:t>
      </w:r>
      <w:proofErr w:type="gramEnd"/>
      <w:r>
        <w:rPr>
          <w:rFonts w:ascii="Arial" w:hAnsi="Arial" w:cs="Arial"/>
          <w:sz w:val="20"/>
          <w:szCs w:val="20"/>
        </w:rPr>
        <w:t>,</w:t>
      </w:r>
      <w:r w:rsidR="00324087">
        <w:rPr>
          <w:rFonts w:ascii="Arial" w:hAnsi="Arial" w:cs="Arial"/>
          <w:sz w:val="20"/>
          <w:szCs w:val="20"/>
        </w:rPr>
        <w:t>XXX</w:t>
      </w:r>
      <w:proofErr w:type="spellEnd"/>
      <w:r>
        <w:rPr>
          <w:rFonts w:ascii="Arial" w:hAnsi="Arial" w:cs="Arial"/>
          <w:sz w:val="20"/>
          <w:szCs w:val="20"/>
        </w:rPr>
        <w:t xml:space="preserve"> shares</w:t>
      </w:r>
    </w:p>
    <w:p w14:paraId="4752BB3A" w14:textId="77777777" w:rsidR="00982915" w:rsidRDefault="00EB6F73">
      <w:pPr>
        <w:spacing w:after="0" w:line="240" w:lineRule="auto"/>
        <w:ind w:leftChars="100" w:left="220"/>
        <w:jc w:val="both"/>
        <w:rPr>
          <w:rFonts w:ascii="Arial" w:hAnsi="Arial" w:cs="Arial"/>
          <w:sz w:val="18"/>
          <w:szCs w:val="20"/>
        </w:rPr>
      </w:pPr>
      <w:r>
        <w:rPr>
          <w:rFonts w:ascii="Arial" w:hAnsi="Arial" w:cs="Arial"/>
          <w:sz w:val="18"/>
          <w:szCs w:val="20"/>
        </w:rPr>
        <w:t>(Note) On June 1, 2014, the Company conducted a 3-for-1 split of common shares. Here, the number of shares at the end of the previous consolidated fiscal year and in the same quarter of the previous fiscal year are calculated as if the stock split had occurred at the beginning of previous consolidated fiscal year.</w:t>
      </w:r>
    </w:p>
    <w:p w14:paraId="4BE58D2A" w14:textId="77777777" w:rsidR="00982915" w:rsidRDefault="00982915">
      <w:pPr>
        <w:spacing w:after="0" w:line="240" w:lineRule="auto"/>
        <w:jc w:val="both"/>
        <w:rPr>
          <w:rFonts w:ascii="Arial" w:hAnsi="Arial" w:cs="Arial"/>
          <w:sz w:val="20"/>
          <w:szCs w:val="20"/>
        </w:rPr>
      </w:pPr>
    </w:p>
    <w:p w14:paraId="40657014" w14:textId="77777777" w:rsidR="00982915" w:rsidRDefault="00982915">
      <w:pPr>
        <w:spacing w:after="0" w:line="240" w:lineRule="auto"/>
        <w:jc w:val="both"/>
        <w:rPr>
          <w:rFonts w:ascii="Arial" w:hAnsi="Arial" w:cs="Arial"/>
          <w:sz w:val="20"/>
          <w:szCs w:val="20"/>
        </w:rPr>
      </w:pPr>
    </w:p>
    <w:p w14:paraId="0E8997B8" w14:textId="77777777" w:rsidR="00982915" w:rsidRDefault="00EB6F73">
      <w:pPr>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u w:val="single"/>
        </w:rPr>
        <w:t>Presentation of the implementation status of quarterly review procedures</w:t>
      </w:r>
    </w:p>
    <w:p w14:paraId="4F8E2943" w14:textId="77777777" w:rsidR="00982915" w:rsidRDefault="00EB6F73">
      <w:pPr>
        <w:spacing w:after="0" w:line="240" w:lineRule="auto"/>
        <w:jc w:val="both"/>
        <w:rPr>
          <w:rFonts w:ascii="Arial" w:hAnsi="Arial" w:cs="Arial"/>
          <w:sz w:val="20"/>
          <w:szCs w:val="20"/>
        </w:rPr>
      </w:pPr>
      <w:r>
        <w:rPr>
          <w:rFonts w:ascii="Arial" w:hAnsi="Arial" w:cs="Arial"/>
          <w:sz w:val="20"/>
          <w:szCs w:val="20"/>
        </w:rPr>
        <w:t>The consolidated financial results under review are exempted from the quarterly review procedures under the Financial Instruments and Exchange Act, and quarterly review procedures under the Financial Instruments and Exchange Act are implemented at the time of the release of this consolidated financial results announcement.</w:t>
      </w:r>
    </w:p>
    <w:p w14:paraId="1BD1CAC1" w14:textId="77777777" w:rsidR="00982915" w:rsidRDefault="00982915">
      <w:pPr>
        <w:spacing w:after="0" w:line="240" w:lineRule="auto"/>
        <w:jc w:val="both"/>
        <w:rPr>
          <w:rFonts w:ascii="Arial" w:hAnsi="Arial" w:cs="Arial"/>
          <w:sz w:val="20"/>
          <w:szCs w:val="20"/>
        </w:rPr>
      </w:pPr>
    </w:p>
    <w:p w14:paraId="5A5C18AA" w14:textId="77777777" w:rsidR="00982915" w:rsidRDefault="00EB6F73">
      <w:pPr>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u w:val="single"/>
        </w:rPr>
        <w:t>Instruction on a proper use of financial forecasts and other special instructions</w:t>
      </w:r>
    </w:p>
    <w:p w14:paraId="1A2B27B3" w14:textId="77777777" w:rsidR="00982915" w:rsidRDefault="00EB6F73">
      <w:pPr>
        <w:spacing w:after="0" w:line="240" w:lineRule="auto"/>
        <w:jc w:val="both"/>
        <w:rPr>
          <w:rFonts w:ascii="Arial" w:hAnsi="Arial" w:cs="Arial"/>
          <w:sz w:val="20"/>
          <w:szCs w:val="20"/>
        </w:rPr>
      </w:pPr>
      <w:r>
        <w:rPr>
          <w:rFonts w:ascii="Arial" w:hAnsi="Arial" w:cs="Arial"/>
          <w:sz w:val="20"/>
          <w:szCs w:val="20"/>
        </w:rPr>
        <w:t>1. Since any forward-looking statements about the financial outlook printed in this document are based on information currently available to the company and on certain assumptions deemed reasonable. It does not guarantee that these results will be achieved. Actual results may differ significantly due to variety of factors. For assumptions used for financial forecasts and cautions on using these forecasts, refer to “3. Explanation of Forecast of Consolidated Business Results and Other Forecasts” under “I. Business Performance” on page 4.</w:t>
      </w:r>
    </w:p>
    <w:p w14:paraId="049EADC3" w14:textId="77777777" w:rsidR="00982915" w:rsidRDefault="00EB6F73">
      <w:pPr>
        <w:rPr>
          <w:rFonts w:ascii="Arial" w:hAnsi="Arial" w:cs="Arial"/>
          <w:b/>
          <w:bCs/>
          <w:sz w:val="20"/>
          <w:szCs w:val="20"/>
        </w:rPr>
      </w:pPr>
      <w:r>
        <w:rPr>
          <w:rFonts w:ascii="Arial" w:hAnsi="Arial" w:cs="Arial"/>
          <w:b/>
          <w:bCs/>
          <w:sz w:val="20"/>
          <w:szCs w:val="20"/>
        </w:rPr>
        <w:br w:type="page"/>
      </w:r>
    </w:p>
    <w:p w14:paraId="567CBA00" w14:textId="77777777" w:rsidR="00982915" w:rsidRDefault="00EB6F73">
      <w:pPr>
        <w:tabs>
          <w:tab w:val="left" w:pos="426"/>
        </w:tabs>
        <w:spacing w:after="0" w:line="240" w:lineRule="auto"/>
        <w:jc w:val="both"/>
        <w:rPr>
          <w:rFonts w:ascii="Arial" w:hAnsi="Arial" w:cs="Arial"/>
          <w:b/>
          <w:bCs/>
          <w:color w:val="000000" w:themeColor="text1"/>
          <w:sz w:val="32"/>
          <w:szCs w:val="22"/>
        </w:rPr>
      </w:pPr>
      <w:r>
        <w:rPr>
          <w:rFonts w:ascii="Arial" w:hAnsi="Arial" w:cs="Arial"/>
          <w:b/>
          <w:bCs/>
          <w:color w:val="000000" w:themeColor="text1"/>
          <w:sz w:val="32"/>
          <w:szCs w:val="22"/>
        </w:rPr>
        <w:lastRenderedPageBreak/>
        <w:t>I. Business Performance</w:t>
      </w:r>
    </w:p>
    <w:p w14:paraId="09F879A1" w14:textId="77777777" w:rsidR="00982915" w:rsidRDefault="00982915">
      <w:pPr>
        <w:pStyle w:val="ListParagraph"/>
        <w:tabs>
          <w:tab w:val="left" w:pos="567"/>
        </w:tabs>
        <w:spacing w:after="0" w:line="240" w:lineRule="auto"/>
        <w:ind w:left="284"/>
        <w:jc w:val="both"/>
        <w:rPr>
          <w:rFonts w:ascii="Arial" w:hAnsi="Arial" w:cs="Arial"/>
          <w:color w:val="000000" w:themeColor="text1"/>
          <w:sz w:val="21"/>
          <w:szCs w:val="22"/>
        </w:rPr>
      </w:pPr>
    </w:p>
    <w:p w14:paraId="1C5ED0FC" w14:textId="77777777" w:rsidR="00982915" w:rsidRDefault="00EB6F73">
      <w:pPr>
        <w:spacing w:after="0" w:line="240" w:lineRule="auto"/>
        <w:rPr>
          <w:rFonts w:ascii="Arial" w:hAnsi="Arial" w:cs="Arial"/>
          <w:b/>
          <w:bCs/>
          <w:color w:val="000000" w:themeColor="text1"/>
          <w:sz w:val="21"/>
          <w:szCs w:val="22"/>
        </w:rPr>
      </w:pPr>
      <w:r>
        <w:rPr>
          <w:rFonts w:ascii="Arial" w:hAnsi="Arial" w:cs="Arial"/>
          <w:b/>
          <w:bCs/>
          <w:color w:val="000000" w:themeColor="text1"/>
          <w:sz w:val="21"/>
          <w:szCs w:val="22"/>
        </w:rPr>
        <w:t>1. Explanation of Business Results</w:t>
      </w:r>
    </w:p>
    <w:p w14:paraId="7C840F90" w14:textId="0029916C"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During the consolidated period under review (Q3 FY2015: nine months ended September 30, 2015), the Japanese economy saw strong corporate earnings and improvements in employment conditions</w:t>
      </w:r>
      <w:r w:rsidR="00324087">
        <w:rPr>
          <w:rFonts w:ascii="Arial" w:hAnsi="Arial" w:cs="Arial"/>
          <w:color w:val="000000" w:themeColor="text1"/>
          <w:sz w:val="20"/>
          <w:szCs w:val="20"/>
        </w:rPr>
        <w:t xml:space="preserve"> </w:t>
      </w:r>
      <w:r>
        <w:rPr>
          <w:rFonts w:ascii="Arial" w:hAnsi="Arial" w:cs="Arial"/>
          <w:color w:val="000000" w:themeColor="text1"/>
          <w:sz w:val="20"/>
          <w:szCs w:val="20"/>
        </w:rPr>
        <w:t>and remained in a recovery phase. However, the effects of the slowing Chinese economy and spreading stagnation in personal consumption are creating uncertainty as to how the economy will unfold.</w:t>
      </w:r>
    </w:p>
    <w:p w14:paraId="7155F41B" w14:textId="77777777"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The operating environment of the logistics industry, while benefiting from the reduction of fuel prices, remained problematic due to a shortage of drivers, which pushed up both recruitment costs and vehicle-hiring costs, shortages of trucks and personnel causing missed opportunities, and sluggish growth in personal consumption and unseasonable weather during the summer, causing a slowdown in cargo movement.</w:t>
      </w:r>
    </w:p>
    <w:p w14:paraId="0982A620" w14:textId="5A6A3D21"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Confronted by this environment, the </w:t>
      </w:r>
      <w:r w:rsidR="00324087">
        <w:rPr>
          <w:rFonts w:ascii="Arial" w:hAnsi="Arial" w:cs="Arial"/>
          <w:color w:val="000000" w:themeColor="text1"/>
          <w:sz w:val="20"/>
          <w:szCs w:val="20"/>
        </w:rPr>
        <w:t>XYZ</w:t>
      </w:r>
      <w:r>
        <w:rPr>
          <w:rFonts w:ascii="Arial" w:hAnsi="Arial" w:cs="Arial"/>
          <w:color w:val="000000" w:themeColor="text1"/>
          <w:sz w:val="20"/>
          <w:szCs w:val="20"/>
        </w:rPr>
        <w:t xml:space="preserve"> Group worked in unison to execute the business and investment strategies based on “</w:t>
      </w:r>
      <w:r w:rsidR="00324087">
        <w:rPr>
          <w:rFonts w:ascii="Arial" w:hAnsi="Arial" w:cs="Arial"/>
          <w:color w:val="000000" w:themeColor="text1"/>
          <w:sz w:val="20"/>
          <w:szCs w:val="20"/>
        </w:rPr>
        <w:t>XYZ</w:t>
      </w:r>
      <w:r>
        <w:rPr>
          <w:rFonts w:ascii="Arial" w:hAnsi="Arial" w:cs="Arial"/>
          <w:color w:val="000000" w:themeColor="text1"/>
          <w:sz w:val="20"/>
          <w:szCs w:val="20"/>
        </w:rPr>
        <w:t xml:space="preserve"> Growth 2017,” which is our four-year medium-term management plan that commenced in 2014.</w:t>
      </w:r>
    </w:p>
    <w:p w14:paraId="742BC5E8" w14:textId="49FEA32C"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The business strategy comprised the renovation of </w:t>
      </w:r>
      <w:r w:rsidR="00324087">
        <w:rPr>
          <w:rFonts w:ascii="Arial" w:hAnsi="Arial" w:cs="Arial"/>
          <w:color w:val="000000" w:themeColor="text1"/>
          <w:sz w:val="20"/>
          <w:szCs w:val="20"/>
        </w:rPr>
        <w:t>XYZ</w:t>
      </w:r>
      <w:r>
        <w:rPr>
          <w:rFonts w:ascii="Arial" w:hAnsi="Arial" w:cs="Arial"/>
          <w:color w:val="000000" w:themeColor="text1"/>
          <w:sz w:val="20"/>
          <w:szCs w:val="20"/>
        </w:rPr>
        <w:t xml:space="preserve"> </w:t>
      </w:r>
      <w:r w:rsidR="00324087">
        <w:rPr>
          <w:rFonts w:ascii="Arial" w:hAnsi="Arial" w:cs="Arial"/>
          <w:color w:val="000000" w:themeColor="text1"/>
          <w:sz w:val="20"/>
          <w:szCs w:val="20"/>
        </w:rPr>
        <w:t xml:space="preserve">(product name) </w:t>
      </w:r>
      <w:r>
        <w:rPr>
          <w:rFonts w:ascii="Arial" w:hAnsi="Arial" w:cs="Arial"/>
          <w:color w:val="000000" w:themeColor="text1"/>
          <w:sz w:val="20"/>
          <w:szCs w:val="20"/>
        </w:rPr>
        <w:t xml:space="preserve">sales organization to further expand the </w:t>
      </w:r>
      <w:r w:rsidR="00324087">
        <w:rPr>
          <w:rFonts w:ascii="Arial" w:hAnsi="Arial" w:cs="Arial"/>
          <w:color w:val="000000" w:themeColor="text1"/>
          <w:sz w:val="20"/>
          <w:szCs w:val="20"/>
        </w:rPr>
        <w:t>(business segment name)</w:t>
      </w:r>
      <w:r>
        <w:rPr>
          <w:rFonts w:ascii="Arial" w:hAnsi="Arial" w:cs="Arial"/>
          <w:color w:val="000000" w:themeColor="text1"/>
          <w:sz w:val="20"/>
          <w:szCs w:val="20"/>
        </w:rPr>
        <w:t xml:space="preserve"> business, and the full-fledged start of market cultivation in the Kansai region and western Japan by opening a sales base in Osaka for the logistics and human resources businesses. In July, </w:t>
      </w:r>
      <w:r w:rsidR="00324087">
        <w:rPr>
          <w:rFonts w:ascii="Arial" w:hAnsi="Arial" w:cs="Arial"/>
          <w:color w:val="000000" w:themeColor="text1"/>
          <w:sz w:val="20"/>
          <w:szCs w:val="20"/>
        </w:rPr>
        <w:t xml:space="preserve">XYZ (service name) </w:t>
      </w:r>
      <w:r>
        <w:rPr>
          <w:rFonts w:ascii="Arial" w:hAnsi="Arial" w:cs="Arial"/>
          <w:color w:val="000000" w:themeColor="text1"/>
          <w:sz w:val="20"/>
          <w:szCs w:val="20"/>
        </w:rPr>
        <w:t xml:space="preserve">and </w:t>
      </w:r>
      <w:r w:rsidR="00324087">
        <w:rPr>
          <w:rFonts w:ascii="Arial" w:hAnsi="Arial" w:cs="Arial"/>
          <w:color w:val="000000" w:themeColor="text1"/>
          <w:sz w:val="20"/>
          <w:szCs w:val="20"/>
        </w:rPr>
        <w:t xml:space="preserve">XYZ </w:t>
      </w:r>
      <w:r w:rsidR="002B4C0C">
        <w:rPr>
          <w:rFonts w:ascii="Arial" w:hAnsi="Arial" w:cs="Arial"/>
          <w:color w:val="000000" w:themeColor="text1"/>
          <w:sz w:val="20"/>
          <w:szCs w:val="20"/>
        </w:rPr>
        <w:t xml:space="preserve">(subsidiary name) </w:t>
      </w:r>
      <w:r>
        <w:rPr>
          <w:rFonts w:ascii="Arial" w:hAnsi="Arial" w:cs="Arial"/>
          <w:color w:val="000000" w:themeColor="text1"/>
          <w:sz w:val="20"/>
          <w:szCs w:val="20"/>
        </w:rPr>
        <w:t xml:space="preserve">merged, with the trade name changed to </w:t>
      </w:r>
      <w:r w:rsidR="002B4C0C">
        <w:rPr>
          <w:rFonts w:ascii="Arial" w:hAnsi="Arial" w:cs="Arial"/>
          <w:color w:val="000000" w:themeColor="text1"/>
          <w:sz w:val="20"/>
          <w:szCs w:val="20"/>
        </w:rPr>
        <w:t>XYZ (product name)</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so as to</w:t>
      </w:r>
      <w:proofErr w:type="gramEnd"/>
      <w:r>
        <w:rPr>
          <w:rFonts w:ascii="Arial" w:hAnsi="Arial" w:cs="Arial"/>
          <w:color w:val="000000" w:themeColor="text1"/>
          <w:sz w:val="20"/>
          <w:szCs w:val="20"/>
        </w:rPr>
        <w:t xml:space="preserve"> downsize the management structure and back</w:t>
      </w:r>
      <w:r w:rsidR="002B4C0C">
        <w:rPr>
          <w:rFonts w:ascii="Arial" w:hAnsi="Arial" w:cs="Arial"/>
          <w:color w:val="000000" w:themeColor="text1"/>
          <w:sz w:val="20"/>
          <w:szCs w:val="20"/>
        </w:rPr>
        <w:t>-</w:t>
      </w:r>
      <w:r>
        <w:rPr>
          <w:rFonts w:ascii="Arial" w:hAnsi="Arial" w:cs="Arial"/>
          <w:color w:val="000000" w:themeColor="text1"/>
          <w:sz w:val="20"/>
          <w:szCs w:val="20"/>
        </w:rPr>
        <w:t xml:space="preserve">office operations. As for new business, the Company commenced operations of </w:t>
      </w:r>
      <w:r w:rsidR="002B4C0C">
        <w:rPr>
          <w:rFonts w:ascii="Arial" w:hAnsi="Arial" w:cs="Arial"/>
          <w:color w:val="000000" w:themeColor="text1"/>
          <w:sz w:val="20"/>
          <w:szCs w:val="20"/>
        </w:rPr>
        <w:t xml:space="preserve">service </w:t>
      </w:r>
      <w:r>
        <w:rPr>
          <w:rFonts w:ascii="Arial" w:hAnsi="Arial" w:cs="Arial"/>
          <w:color w:val="000000" w:themeColor="text1"/>
          <w:sz w:val="20"/>
          <w:szCs w:val="20"/>
        </w:rPr>
        <w:t xml:space="preserve">centers for drugstores and food products manufacturers. We also received an order for logistics operations from </w:t>
      </w:r>
      <w:r w:rsidR="002B4C0C">
        <w:rPr>
          <w:rFonts w:ascii="Arial" w:hAnsi="Arial" w:cs="Arial"/>
          <w:color w:val="000000" w:themeColor="text1"/>
          <w:sz w:val="20"/>
          <w:szCs w:val="20"/>
        </w:rPr>
        <w:t xml:space="preserve">(company name) </w:t>
      </w:r>
      <w:r>
        <w:rPr>
          <w:rFonts w:ascii="Arial" w:hAnsi="Arial" w:cs="Arial"/>
          <w:color w:val="000000" w:themeColor="text1"/>
          <w:sz w:val="20"/>
          <w:szCs w:val="20"/>
        </w:rPr>
        <w:t xml:space="preserve">Co., Ltd., a prominent wholesaler of music and video software. The relocation of the center, </w:t>
      </w:r>
      <w:r w:rsidR="002B4C0C">
        <w:rPr>
          <w:rFonts w:ascii="Arial" w:hAnsi="Arial" w:cs="Arial"/>
          <w:color w:val="000000" w:themeColor="text1"/>
          <w:sz w:val="20"/>
          <w:szCs w:val="20"/>
        </w:rPr>
        <w:t>w</w:t>
      </w:r>
      <w:r>
        <w:rPr>
          <w:rFonts w:ascii="Arial" w:hAnsi="Arial" w:cs="Arial"/>
          <w:color w:val="000000" w:themeColor="text1"/>
          <w:sz w:val="20"/>
          <w:szCs w:val="20"/>
        </w:rPr>
        <w:t>hich had been proceeding in phases since May, has been completed and full-fledged operations commenced in late September.</w:t>
      </w:r>
    </w:p>
    <w:p w14:paraId="4E543C88" w14:textId="2C4C9BD3"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Activity in overseas operations included the acquisition of shares in </w:t>
      </w:r>
      <w:r w:rsidR="002B4C0C">
        <w:rPr>
          <w:rFonts w:ascii="Arial" w:hAnsi="Arial" w:cs="Arial"/>
          <w:color w:val="000000" w:themeColor="text1"/>
          <w:sz w:val="20"/>
          <w:szCs w:val="20"/>
        </w:rPr>
        <w:t xml:space="preserve">(company name) </w:t>
      </w:r>
      <w:r>
        <w:rPr>
          <w:rFonts w:ascii="Arial" w:hAnsi="Arial" w:cs="Arial"/>
          <w:color w:val="000000" w:themeColor="text1"/>
          <w:sz w:val="20"/>
          <w:szCs w:val="20"/>
        </w:rPr>
        <w:t xml:space="preserve">Pvt. Ltd., a consolidated subsidiary of our Company engaged in the forwarding business in India, by </w:t>
      </w:r>
      <w:r w:rsidR="002B4C0C">
        <w:rPr>
          <w:rFonts w:ascii="Arial" w:hAnsi="Arial" w:cs="Arial"/>
          <w:color w:val="000000" w:themeColor="text1"/>
          <w:sz w:val="20"/>
          <w:szCs w:val="20"/>
        </w:rPr>
        <w:t>XYZ</w:t>
      </w:r>
      <w:r>
        <w:rPr>
          <w:rFonts w:ascii="Arial" w:hAnsi="Arial" w:cs="Arial"/>
          <w:color w:val="000000" w:themeColor="text1"/>
          <w:sz w:val="20"/>
          <w:szCs w:val="20"/>
        </w:rPr>
        <w:t xml:space="preserve"> Logistics Pvt. Ltd. (“</w:t>
      </w:r>
      <w:r w:rsidR="002B4C0C">
        <w:rPr>
          <w:rFonts w:ascii="Arial" w:hAnsi="Arial" w:cs="Arial"/>
          <w:color w:val="000000" w:themeColor="text1"/>
          <w:sz w:val="20"/>
          <w:szCs w:val="20"/>
        </w:rPr>
        <w:t>Pvt Ltd</w:t>
      </w:r>
      <w:r>
        <w:rPr>
          <w:rFonts w:ascii="Arial" w:hAnsi="Arial" w:cs="Arial"/>
          <w:color w:val="000000" w:themeColor="text1"/>
          <w:sz w:val="20"/>
          <w:szCs w:val="20"/>
        </w:rPr>
        <w:t xml:space="preserve">”), which joined the Group last year and has now become a subsidiary of our Company. </w:t>
      </w:r>
      <w:proofErr w:type="gramStart"/>
      <w:r>
        <w:rPr>
          <w:rFonts w:ascii="Arial" w:hAnsi="Arial" w:cs="Arial"/>
          <w:color w:val="000000" w:themeColor="text1"/>
          <w:sz w:val="20"/>
          <w:szCs w:val="20"/>
        </w:rPr>
        <w:t>Future plans</w:t>
      </w:r>
      <w:proofErr w:type="gramEnd"/>
      <w:r>
        <w:rPr>
          <w:rFonts w:ascii="Arial" w:hAnsi="Arial" w:cs="Arial"/>
          <w:color w:val="000000" w:themeColor="text1"/>
          <w:sz w:val="20"/>
          <w:szCs w:val="20"/>
        </w:rPr>
        <w:t xml:space="preserve"> include site consolidation and the coordination of operations. </w:t>
      </w:r>
    </w:p>
    <w:p w14:paraId="10A312F0" w14:textId="06A4A777"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We have established a joint venture company with a local forwarder in the Philippines and launched a container logistics business. We are also seeking to accelerate business developments and enhance competitiveness elsewhere in Asia by broadly separating and reorganizing our overseas local subsidiaries into a forwarding business group and a warehousing/logistics business group. We have newly established </w:t>
      </w:r>
      <w:r w:rsidR="002B4C0C">
        <w:rPr>
          <w:rFonts w:ascii="Arial" w:hAnsi="Arial" w:cs="Arial"/>
          <w:color w:val="000000" w:themeColor="text1"/>
          <w:sz w:val="20"/>
          <w:szCs w:val="20"/>
        </w:rPr>
        <w:t xml:space="preserve">XYZ </w:t>
      </w:r>
      <w:r>
        <w:rPr>
          <w:rFonts w:ascii="Arial" w:hAnsi="Arial" w:cs="Arial"/>
          <w:color w:val="000000" w:themeColor="text1"/>
          <w:sz w:val="20"/>
          <w:szCs w:val="20"/>
        </w:rPr>
        <w:t>Singapore Pte. Ltd. in Singapore for comprehensive supervision of the latter line of business.</w:t>
      </w:r>
    </w:p>
    <w:p w14:paraId="5B1A3962" w14:textId="5F133D51"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Our investment strategy included the completion of a large-scale logistic center in </w:t>
      </w:r>
      <w:r w:rsidR="002B4C0C">
        <w:rPr>
          <w:rFonts w:ascii="Arial" w:hAnsi="Arial" w:cs="Arial"/>
          <w:color w:val="000000" w:themeColor="text1"/>
          <w:sz w:val="20"/>
          <w:szCs w:val="20"/>
        </w:rPr>
        <w:t>(city name)</w:t>
      </w:r>
      <w:r>
        <w:rPr>
          <w:rFonts w:ascii="Arial" w:hAnsi="Arial" w:cs="Arial"/>
          <w:color w:val="000000" w:themeColor="text1"/>
          <w:sz w:val="20"/>
          <w:szCs w:val="20"/>
        </w:rPr>
        <w:t xml:space="preserve"> in January, and it has been operating as a logistics center for major large food product manufacturers. In </w:t>
      </w:r>
      <w:r w:rsidR="002B4C0C">
        <w:rPr>
          <w:rFonts w:ascii="Arial" w:hAnsi="Arial" w:cs="Arial"/>
          <w:color w:val="000000" w:themeColor="text1"/>
          <w:sz w:val="20"/>
          <w:szCs w:val="20"/>
        </w:rPr>
        <w:t>(Month)</w:t>
      </w:r>
      <w:r>
        <w:rPr>
          <w:rFonts w:ascii="Arial" w:hAnsi="Arial" w:cs="Arial"/>
          <w:color w:val="000000" w:themeColor="text1"/>
          <w:sz w:val="20"/>
          <w:szCs w:val="20"/>
        </w:rPr>
        <w:t xml:space="preserve">, we began construction of a dedicated logistics center for a major department store group in the city of </w:t>
      </w:r>
      <w:r w:rsidR="002B4C0C">
        <w:rPr>
          <w:rFonts w:ascii="Arial" w:hAnsi="Arial" w:cs="Arial"/>
          <w:color w:val="000000" w:themeColor="text1"/>
          <w:sz w:val="20"/>
          <w:szCs w:val="20"/>
        </w:rPr>
        <w:t>(city name)</w:t>
      </w:r>
      <w:r>
        <w:rPr>
          <w:rFonts w:ascii="Arial" w:hAnsi="Arial" w:cs="Arial"/>
          <w:color w:val="000000" w:themeColor="text1"/>
          <w:sz w:val="20"/>
          <w:szCs w:val="20"/>
        </w:rPr>
        <w:t xml:space="preserve">, Saitama Prefecture. We are now moving forward according to plan with construction on two large-scale logistics facilities, including the </w:t>
      </w:r>
      <w:r w:rsidR="002B4C0C">
        <w:rPr>
          <w:rFonts w:ascii="Arial" w:hAnsi="Arial" w:cs="Arial"/>
          <w:color w:val="000000" w:themeColor="text1"/>
          <w:sz w:val="20"/>
          <w:szCs w:val="20"/>
        </w:rPr>
        <w:t xml:space="preserve">(City name) </w:t>
      </w:r>
      <w:r>
        <w:rPr>
          <w:rFonts w:ascii="Arial" w:hAnsi="Arial" w:cs="Arial"/>
          <w:color w:val="000000" w:themeColor="text1"/>
          <w:sz w:val="20"/>
          <w:szCs w:val="20"/>
        </w:rPr>
        <w:t xml:space="preserve">Logistics Center in </w:t>
      </w:r>
      <w:r w:rsidR="002B4C0C">
        <w:rPr>
          <w:rFonts w:ascii="Arial" w:hAnsi="Arial" w:cs="Arial"/>
          <w:color w:val="000000" w:themeColor="text1"/>
          <w:sz w:val="20"/>
          <w:szCs w:val="20"/>
        </w:rPr>
        <w:t>(City name)</w:t>
      </w:r>
      <w:r>
        <w:rPr>
          <w:rFonts w:ascii="Arial" w:hAnsi="Arial" w:cs="Arial"/>
          <w:color w:val="000000" w:themeColor="text1"/>
          <w:sz w:val="20"/>
          <w:szCs w:val="20"/>
        </w:rPr>
        <w:t>, where construction has already begun. The center is slated for completion in spring 20</w:t>
      </w:r>
      <w:r w:rsidR="002B4C0C">
        <w:rPr>
          <w:rFonts w:ascii="Arial" w:hAnsi="Arial" w:cs="Arial"/>
          <w:color w:val="000000" w:themeColor="text1"/>
          <w:sz w:val="20"/>
          <w:szCs w:val="20"/>
        </w:rPr>
        <w:t>XX</w:t>
      </w:r>
      <w:r>
        <w:rPr>
          <w:rFonts w:ascii="Arial" w:hAnsi="Arial" w:cs="Arial"/>
          <w:color w:val="000000" w:themeColor="text1"/>
          <w:sz w:val="20"/>
          <w:szCs w:val="20"/>
        </w:rPr>
        <w:t xml:space="preserve">, resulting in a new logistics space of approximately </w:t>
      </w:r>
      <w:r w:rsidR="002B4C0C">
        <w:rPr>
          <w:rFonts w:ascii="Arial" w:hAnsi="Arial" w:cs="Arial"/>
          <w:color w:val="000000" w:themeColor="text1"/>
          <w:sz w:val="20"/>
          <w:szCs w:val="20"/>
        </w:rPr>
        <w:t>1,000</w:t>
      </w:r>
      <w:r>
        <w:rPr>
          <w:rFonts w:ascii="Arial" w:hAnsi="Arial" w:cs="Arial"/>
          <w:color w:val="000000" w:themeColor="text1"/>
          <w:sz w:val="20"/>
          <w:szCs w:val="20"/>
        </w:rPr>
        <w:t>,000 square meters.</w:t>
      </w:r>
    </w:p>
    <w:p w14:paraId="18184749" w14:textId="38331022"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As a result, revenue surged to ¥123,</w:t>
      </w:r>
      <w:r w:rsidR="002B4C0C">
        <w:rPr>
          <w:rFonts w:ascii="Arial" w:hAnsi="Arial" w:cs="Arial"/>
          <w:color w:val="000000" w:themeColor="text1"/>
          <w:sz w:val="20"/>
          <w:szCs w:val="20"/>
        </w:rPr>
        <w:t>456</w:t>
      </w:r>
      <w:r>
        <w:rPr>
          <w:rFonts w:ascii="Arial" w:hAnsi="Arial" w:cs="Arial"/>
          <w:color w:val="000000" w:themeColor="text1"/>
          <w:sz w:val="20"/>
          <w:szCs w:val="20"/>
        </w:rPr>
        <w:t xml:space="preserve"> 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year-on-year), due to an increase in the number of overseas subsidiaries and expansion of domestic logistics business.</w:t>
      </w:r>
    </w:p>
    <w:p w14:paraId="76737776" w14:textId="0E79354B"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Operating income was ¥</w:t>
      </w:r>
      <w:r w:rsidR="002B4C0C">
        <w:rPr>
          <w:rFonts w:ascii="Arial" w:hAnsi="Arial" w:cs="Arial"/>
          <w:color w:val="000000" w:themeColor="text1"/>
          <w:sz w:val="20"/>
          <w:szCs w:val="20"/>
        </w:rPr>
        <w:t>1,234</w:t>
      </w:r>
      <w:r>
        <w:rPr>
          <w:rFonts w:ascii="Arial" w:hAnsi="Arial" w:cs="Arial"/>
          <w:color w:val="000000" w:themeColor="text1"/>
          <w:sz w:val="20"/>
          <w:szCs w:val="20"/>
        </w:rPr>
        <w:t xml:space="preserve"> 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year-on-year) due to increased sales, lower fuel costs due to lower crude oil prices, and successful rate adjustments. Ordinary income jumped to ¥</w:t>
      </w:r>
      <w:r w:rsidR="002B4C0C">
        <w:rPr>
          <w:rFonts w:ascii="Arial" w:hAnsi="Arial" w:cs="Arial"/>
          <w:color w:val="000000" w:themeColor="text1"/>
          <w:sz w:val="20"/>
          <w:szCs w:val="20"/>
        </w:rPr>
        <w:t xml:space="preserve">1,234 </w:t>
      </w:r>
      <w:r>
        <w:rPr>
          <w:rFonts w:ascii="Arial" w:hAnsi="Arial" w:cs="Arial"/>
          <w:color w:val="000000" w:themeColor="text1"/>
          <w:sz w:val="20"/>
          <w:szCs w:val="20"/>
        </w:rPr>
        <w:t xml:space="preserve">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year-on-year) with the support of a foreign exchange gain of ¥</w:t>
      </w:r>
      <w:r w:rsidR="002B4C0C">
        <w:rPr>
          <w:rFonts w:ascii="Arial" w:hAnsi="Arial" w:cs="Arial"/>
          <w:color w:val="000000" w:themeColor="text1"/>
          <w:sz w:val="20"/>
          <w:szCs w:val="20"/>
        </w:rPr>
        <w:t>123</w:t>
      </w:r>
      <w:r>
        <w:rPr>
          <w:rFonts w:ascii="Arial" w:hAnsi="Arial" w:cs="Arial"/>
          <w:color w:val="000000" w:themeColor="text1"/>
          <w:sz w:val="20"/>
          <w:szCs w:val="20"/>
        </w:rPr>
        <w:t xml:space="preserve"> million. Net income exceeded that of the first nine months of the preceding fiscal year by ¥1,</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and was ¥</w:t>
      </w:r>
      <w:r w:rsidR="002B4C0C">
        <w:rPr>
          <w:rFonts w:ascii="Arial" w:hAnsi="Arial" w:cs="Arial"/>
          <w:color w:val="000000" w:themeColor="text1"/>
          <w:sz w:val="20"/>
          <w:szCs w:val="20"/>
        </w:rPr>
        <w:t>1,234</w:t>
      </w:r>
      <w:r>
        <w:rPr>
          <w:rFonts w:ascii="Arial" w:hAnsi="Arial" w:cs="Arial"/>
          <w:color w:val="000000" w:themeColor="text1"/>
          <w:sz w:val="20"/>
          <w:szCs w:val="20"/>
        </w:rPr>
        <w:t xml:space="preserve"> 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year-on-year), while posting a gain on sales of property, plant and equipment of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as extraordinary income, and posting an extraordinary loss from the writing off of goodwill of ¥</w:t>
      </w:r>
      <w:r w:rsidR="002B4C0C">
        <w:rPr>
          <w:rFonts w:ascii="Arial" w:hAnsi="Arial" w:cs="Arial"/>
          <w:color w:val="000000" w:themeColor="text1"/>
          <w:sz w:val="20"/>
          <w:szCs w:val="20"/>
        </w:rPr>
        <w:t>123</w:t>
      </w:r>
      <w:r>
        <w:rPr>
          <w:rFonts w:ascii="Arial" w:hAnsi="Arial" w:cs="Arial"/>
          <w:color w:val="000000" w:themeColor="text1"/>
          <w:sz w:val="20"/>
          <w:szCs w:val="20"/>
        </w:rPr>
        <w:t xml:space="preserve"> million in a lump sum based on our judgment that recovering our investment in </w:t>
      </w:r>
      <w:r w:rsidR="002B4C0C">
        <w:rPr>
          <w:rFonts w:ascii="Arial" w:hAnsi="Arial" w:cs="Arial"/>
          <w:color w:val="000000" w:themeColor="text1"/>
          <w:sz w:val="20"/>
          <w:szCs w:val="20"/>
        </w:rPr>
        <w:t xml:space="preserve">(Company name) </w:t>
      </w:r>
      <w:r>
        <w:rPr>
          <w:rFonts w:ascii="Arial" w:hAnsi="Arial" w:cs="Arial"/>
          <w:color w:val="000000" w:themeColor="text1"/>
          <w:sz w:val="20"/>
          <w:szCs w:val="20"/>
        </w:rPr>
        <w:t>Pvt. Ltd. of India would be delayed beyond previous expectations.</w:t>
      </w:r>
    </w:p>
    <w:p w14:paraId="46BACFB2" w14:textId="77777777"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From the first quarter of the consolidated fiscal year under review, the Company has adopted the “Practical Solution on Transactions of Delivering the Company’s Own Stock to Employees etc. through Trusts” (Practical Issues Task Force No. 30, December 25, 2013 as announced). For comparative purposes, this standard has been applied retroactively to figures for the same period of the preceding fiscal year (the same applies below).</w:t>
      </w:r>
    </w:p>
    <w:p w14:paraId="07BEB3D0" w14:textId="77777777" w:rsidR="00982915" w:rsidRDefault="00982915">
      <w:pPr>
        <w:tabs>
          <w:tab w:val="left" w:pos="567"/>
        </w:tabs>
        <w:spacing w:after="0" w:line="240" w:lineRule="auto"/>
        <w:jc w:val="both"/>
        <w:rPr>
          <w:rFonts w:ascii="Arial" w:hAnsi="Arial" w:cs="Arial"/>
          <w:color w:val="000000" w:themeColor="text1"/>
          <w:sz w:val="20"/>
          <w:szCs w:val="20"/>
        </w:rPr>
      </w:pPr>
    </w:p>
    <w:p w14:paraId="3A04E55D" w14:textId="77777777"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Financial results by segment are as follows.</w:t>
      </w:r>
    </w:p>
    <w:p w14:paraId="68E00077" w14:textId="77777777" w:rsidR="00982915" w:rsidRDefault="00982915">
      <w:pPr>
        <w:tabs>
          <w:tab w:val="left" w:pos="567"/>
        </w:tabs>
        <w:spacing w:after="0" w:line="240" w:lineRule="auto"/>
        <w:jc w:val="both"/>
        <w:rPr>
          <w:rFonts w:ascii="Arial" w:hAnsi="Arial" w:cs="Arial"/>
          <w:color w:val="000000" w:themeColor="text1"/>
          <w:sz w:val="20"/>
          <w:szCs w:val="20"/>
        </w:rPr>
      </w:pPr>
    </w:p>
    <w:p w14:paraId="747ED3B5" w14:textId="77777777" w:rsidR="00982915" w:rsidRDefault="00EB6F73">
      <w:pPr>
        <w:tabs>
          <w:tab w:val="left" w:pos="567"/>
        </w:tabs>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(Logistics Business Segment)</w:t>
      </w:r>
    </w:p>
    <w:p w14:paraId="408CB7F9" w14:textId="329CB81E"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Although there were concerns about a potential reduction of consumption as a backlash to a demand rush ahead of the consumption tax hike, which occurred in the preceding first quarter cumulative consolidated period, the segment </w:t>
      </w:r>
      <w:r>
        <w:rPr>
          <w:rFonts w:ascii="Arial" w:hAnsi="Arial" w:cs="Arial"/>
          <w:color w:val="000000" w:themeColor="text1"/>
          <w:sz w:val="20"/>
          <w:szCs w:val="20"/>
        </w:rPr>
        <w:lastRenderedPageBreak/>
        <w:t>revenue of the logistics business was ¥1</w:t>
      </w:r>
      <w:r w:rsidR="002B4C0C">
        <w:rPr>
          <w:rFonts w:ascii="Arial" w:hAnsi="Arial" w:cs="Arial"/>
          <w:color w:val="000000" w:themeColor="text1"/>
          <w:sz w:val="20"/>
          <w:szCs w:val="20"/>
        </w:rPr>
        <w:t>23,456</w:t>
      </w:r>
      <w:r>
        <w:rPr>
          <w:rFonts w:ascii="Arial" w:hAnsi="Arial" w:cs="Arial"/>
          <w:color w:val="000000" w:themeColor="text1"/>
          <w:sz w:val="20"/>
          <w:szCs w:val="20"/>
        </w:rPr>
        <w:t xml:space="preserve"> 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xml:space="preserve">%, year-on-year). Key factors include strong performance in certain segments of the retail industry and department stores, etc., due to the increase in the number of visitors coming to Japan, and the new consolidation of </w:t>
      </w:r>
      <w:r w:rsidR="002B4C0C">
        <w:rPr>
          <w:rFonts w:ascii="Arial" w:hAnsi="Arial" w:cs="Arial"/>
          <w:color w:val="000000" w:themeColor="text1"/>
          <w:sz w:val="20"/>
          <w:szCs w:val="20"/>
        </w:rPr>
        <w:t xml:space="preserve">(company name) </w:t>
      </w:r>
      <w:r>
        <w:rPr>
          <w:rFonts w:ascii="Arial" w:hAnsi="Arial" w:cs="Arial"/>
          <w:color w:val="000000" w:themeColor="text1"/>
          <w:sz w:val="20"/>
          <w:szCs w:val="20"/>
        </w:rPr>
        <w:t>of India, whose shares we acquired in the preceding consolidated fiscal year. Operating income jumped to ¥1,</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year-on-year), helped by lower fuel costs and rate hikes, despite rises in vehicle-hiring costs and rising personnel expenses.</w:t>
      </w:r>
    </w:p>
    <w:p w14:paraId="717A909D" w14:textId="77777777" w:rsidR="00982915" w:rsidRDefault="00982915">
      <w:pPr>
        <w:tabs>
          <w:tab w:val="left" w:pos="567"/>
        </w:tabs>
        <w:spacing w:after="0" w:line="240" w:lineRule="auto"/>
        <w:jc w:val="both"/>
        <w:rPr>
          <w:rFonts w:ascii="Arial" w:hAnsi="Arial" w:cs="Arial"/>
          <w:color w:val="000000" w:themeColor="text1"/>
          <w:sz w:val="20"/>
          <w:szCs w:val="20"/>
        </w:rPr>
      </w:pPr>
    </w:p>
    <w:p w14:paraId="060AC9FB" w14:textId="77777777" w:rsidR="00982915" w:rsidRDefault="00EB6F73">
      <w:pPr>
        <w:tabs>
          <w:tab w:val="left" w:pos="567"/>
        </w:tabs>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(Real Property Business Segment)</w:t>
      </w:r>
    </w:p>
    <w:p w14:paraId="66F347DF" w14:textId="59F3A510"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For the real property business, revenue was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year-on-year), and operating income was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(an increase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xml:space="preserve">%, year-on-year). One factor was the increase of rental revenue sourced from the commencement of operations at the </w:t>
      </w:r>
      <w:r w:rsidR="002B4C0C">
        <w:rPr>
          <w:rFonts w:ascii="Arial" w:hAnsi="Arial" w:cs="Arial"/>
          <w:color w:val="000000" w:themeColor="text1"/>
          <w:sz w:val="20"/>
          <w:szCs w:val="20"/>
        </w:rPr>
        <w:t xml:space="preserve">(city name) </w:t>
      </w:r>
      <w:r>
        <w:rPr>
          <w:rFonts w:ascii="Arial" w:hAnsi="Arial" w:cs="Arial"/>
          <w:color w:val="000000" w:themeColor="text1"/>
          <w:sz w:val="20"/>
          <w:szCs w:val="20"/>
        </w:rPr>
        <w:t xml:space="preserve">Center. Another factor was the sale of logistics facilities, which had been held as real property for sale, including the sale of a property in the city of </w:t>
      </w:r>
      <w:r w:rsidR="002B4C0C">
        <w:rPr>
          <w:rFonts w:ascii="Arial" w:hAnsi="Arial" w:cs="Arial"/>
          <w:color w:val="000000" w:themeColor="text1"/>
          <w:sz w:val="20"/>
          <w:szCs w:val="20"/>
        </w:rPr>
        <w:t>(city name)</w:t>
      </w:r>
      <w:r>
        <w:rPr>
          <w:rFonts w:ascii="Arial" w:hAnsi="Arial" w:cs="Arial"/>
          <w:color w:val="000000" w:themeColor="text1"/>
          <w:sz w:val="20"/>
          <w:szCs w:val="20"/>
        </w:rPr>
        <w:t xml:space="preserve">, Saitama Prefecture, in </w:t>
      </w:r>
      <w:r w:rsidR="002B4C0C">
        <w:rPr>
          <w:rFonts w:ascii="Arial" w:hAnsi="Arial" w:cs="Arial"/>
          <w:color w:val="000000" w:themeColor="text1"/>
          <w:sz w:val="20"/>
          <w:szCs w:val="20"/>
        </w:rPr>
        <w:t xml:space="preserve">(Month) </w:t>
      </w:r>
      <w:r>
        <w:rPr>
          <w:rFonts w:ascii="Arial" w:hAnsi="Arial" w:cs="Arial"/>
          <w:color w:val="000000" w:themeColor="text1"/>
          <w:sz w:val="20"/>
          <w:szCs w:val="20"/>
        </w:rPr>
        <w:t>for ¥1,</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and the sale of a property in </w:t>
      </w:r>
      <w:r w:rsidR="002B4C0C">
        <w:rPr>
          <w:rFonts w:ascii="Arial" w:hAnsi="Arial" w:cs="Arial"/>
          <w:color w:val="000000" w:themeColor="text1"/>
          <w:sz w:val="20"/>
          <w:szCs w:val="20"/>
        </w:rPr>
        <w:t>(city name)</w:t>
      </w:r>
      <w:r>
        <w:rPr>
          <w:rFonts w:ascii="Arial" w:hAnsi="Arial" w:cs="Arial"/>
          <w:color w:val="000000" w:themeColor="text1"/>
          <w:sz w:val="20"/>
          <w:szCs w:val="20"/>
        </w:rPr>
        <w:t>, Chiba Prefecture, in July for ¥</w:t>
      </w:r>
      <w:r w:rsidR="002B4C0C">
        <w:rPr>
          <w:rFonts w:ascii="Arial" w:hAnsi="Arial" w:cs="Arial"/>
          <w:color w:val="000000" w:themeColor="text1"/>
          <w:sz w:val="20"/>
          <w:szCs w:val="20"/>
        </w:rPr>
        <w:t>1,234</w:t>
      </w:r>
      <w:r>
        <w:rPr>
          <w:rFonts w:ascii="Arial" w:hAnsi="Arial" w:cs="Arial"/>
          <w:color w:val="000000" w:themeColor="text1"/>
          <w:sz w:val="20"/>
          <w:szCs w:val="20"/>
        </w:rPr>
        <w:t xml:space="preserve"> million.</w:t>
      </w:r>
    </w:p>
    <w:p w14:paraId="1E191DDD" w14:textId="77777777" w:rsidR="00982915" w:rsidRDefault="00982915">
      <w:pPr>
        <w:tabs>
          <w:tab w:val="left" w:pos="567"/>
        </w:tabs>
        <w:spacing w:after="0" w:line="240" w:lineRule="auto"/>
        <w:jc w:val="both"/>
        <w:rPr>
          <w:rFonts w:ascii="Arial" w:hAnsi="Arial" w:cs="Arial"/>
          <w:color w:val="000000" w:themeColor="text1"/>
          <w:sz w:val="20"/>
          <w:szCs w:val="20"/>
        </w:rPr>
      </w:pPr>
    </w:p>
    <w:p w14:paraId="449B77AF" w14:textId="77777777" w:rsidR="00982915" w:rsidRDefault="00EB6F73">
      <w:pPr>
        <w:tabs>
          <w:tab w:val="left" w:pos="567"/>
        </w:tabs>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(Other Business Segments)</w:t>
      </w:r>
    </w:p>
    <w:p w14:paraId="1B4B4A98" w14:textId="6E6DEA20"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As for other business segments, revenue was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 decrease of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year-on-year), and operating income was to ¥1</w:t>
      </w:r>
      <w:r w:rsidR="002B4C0C">
        <w:rPr>
          <w:rFonts w:ascii="Arial" w:hAnsi="Arial" w:cs="Arial"/>
          <w:color w:val="000000" w:themeColor="text1"/>
          <w:sz w:val="20"/>
          <w:szCs w:val="20"/>
        </w:rPr>
        <w:t>23</w:t>
      </w:r>
      <w:r>
        <w:rPr>
          <w:rFonts w:ascii="Arial" w:hAnsi="Arial" w:cs="Arial"/>
          <w:color w:val="000000" w:themeColor="text1"/>
          <w:sz w:val="20"/>
          <w:szCs w:val="20"/>
        </w:rPr>
        <w:t xml:space="preserve"> million (a</w:t>
      </w:r>
      <w:r w:rsidR="002B4C0C">
        <w:rPr>
          <w:rFonts w:ascii="Arial" w:hAnsi="Arial" w:cs="Arial"/>
          <w:color w:val="000000" w:themeColor="text1"/>
          <w:sz w:val="20"/>
          <w:szCs w:val="20"/>
        </w:rPr>
        <w:t>n</w:t>
      </w:r>
      <w:r>
        <w:rPr>
          <w:rFonts w:ascii="Arial" w:hAnsi="Arial" w:cs="Arial"/>
          <w:color w:val="000000" w:themeColor="text1"/>
          <w:sz w:val="20"/>
          <w:szCs w:val="20"/>
        </w:rPr>
        <w:t xml:space="preserve"> </w:t>
      </w:r>
      <w:proofErr w:type="spellStart"/>
      <w:r w:rsidR="002B4C0C">
        <w:rPr>
          <w:rFonts w:ascii="Arial" w:hAnsi="Arial" w:cs="Arial"/>
          <w:color w:val="000000" w:themeColor="text1"/>
          <w:sz w:val="20"/>
          <w:szCs w:val="20"/>
        </w:rPr>
        <w:t>xx</w:t>
      </w:r>
      <w:r>
        <w:rPr>
          <w:rFonts w:ascii="Arial" w:hAnsi="Arial" w:cs="Arial"/>
          <w:color w:val="000000" w:themeColor="text1"/>
          <w:sz w:val="20"/>
          <w:szCs w:val="20"/>
        </w:rPr>
        <w:t>.</w:t>
      </w:r>
      <w:r w:rsidR="002B4C0C">
        <w:rPr>
          <w:rFonts w:ascii="Arial" w:hAnsi="Arial" w:cs="Arial"/>
          <w:color w:val="000000" w:themeColor="text1"/>
          <w:sz w:val="20"/>
          <w:szCs w:val="20"/>
        </w:rPr>
        <w:t>x</w:t>
      </w:r>
      <w:proofErr w:type="spellEnd"/>
      <w:r>
        <w:rPr>
          <w:rFonts w:ascii="Arial" w:hAnsi="Arial" w:cs="Arial"/>
          <w:color w:val="000000" w:themeColor="text1"/>
          <w:sz w:val="20"/>
          <w:szCs w:val="20"/>
        </w:rPr>
        <w:t>% decrease, year-on-year). Key factors include lost opportunities in the main human resources business arising from staff shortages as well as an increase in recruitment costs for dispatch staff, affected by improvements in the job market, and the sale of a marketing business-handling subsidiary during the previous consolidated fiscal year.</w:t>
      </w:r>
    </w:p>
    <w:p w14:paraId="327970C7" w14:textId="77777777" w:rsidR="00982915" w:rsidRDefault="00982915">
      <w:pPr>
        <w:tabs>
          <w:tab w:val="left" w:pos="567"/>
        </w:tabs>
        <w:spacing w:after="0" w:line="240" w:lineRule="auto"/>
        <w:jc w:val="both"/>
        <w:rPr>
          <w:rFonts w:ascii="Arial" w:hAnsi="Arial" w:cs="Arial"/>
          <w:b/>
          <w:bCs/>
          <w:color w:val="000000" w:themeColor="text1"/>
          <w:sz w:val="20"/>
          <w:szCs w:val="20"/>
        </w:rPr>
      </w:pPr>
    </w:p>
    <w:p w14:paraId="77E847AC" w14:textId="77777777" w:rsidR="00982915" w:rsidRDefault="00EB6F73">
      <w:pPr>
        <w:tabs>
          <w:tab w:val="left" w:pos="567"/>
        </w:tabs>
        <w:spacing w:after="0" w:line="240" w:lineRule="auto"/>
        <w:jc w:val="both"/>
        <w:rPr>
          <w:rFonts w:ascii="Arial" w:hAnsi="Arial" w:cs="Arial"/>
          <w:b/>
          <w:bCs/>
          <w:color w:val="000000" w:themeColor="text1"/>
          <w:sz w:val="21"/>
          <w:szCs w:val="20"/>
        </w:rPr>
      </w:pPr>
      <w:r>
        <w:rPr>
          <w:rFonts w:ascii="Arial" w:hAnsi="Arial" w:cs="Arial"/>
          <w:b/>
          <w:bCs/>
          <w:color w:val="000000" w:themeColor="text1"/>
          <w:sz w:val="21"/>
          <w:szCs w:val="20"/>
        </w:rPr>
        <w:t>2. Explanation of Financial Condition</w:t>
      </w:r>
    </w:p>
    <w:p w14:paraId="25129955" w14:textId="232758A0"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As at the end of this third quarter of the consolidated financial period (i.e., September 30, 2015), the total assets balance was ¥1</w:t>
      </w:r>
      <w:r w:rsidR="002B4C0C">
        <w:rPr>
          <w:rFonts w:ascii="Arial" w:hAnsi="Arial" w:cs="Arial"/>
          <w:color w:val="000000" w:themeColor="text1"/>
          <w:sz w:val="20"/>
          <w:szCs w:val="20"/>
        </w:rPr>
        <w:t>23,456</w:t>
      </w:r>
      <w:r>
        <w:rPr>
          <w:rFonts w:ascii="Arial" w:hAnsi="Arial" w:cs="Arial"/>
          <w:color w:val="000000" w:themeColor="text1"/>
          <w:sz w:val="20"/>
          <w:szCs w:val="20"/>
        </w:rPr>
        <w:t xml:space="preserve"> million, up by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from the balance compared to the end of the prior consolidated fiscal year (i.e., December 31, 2014).</w:t>
      </w:r>
    </w:p>
    <w:p w14:paraId="5591117E" w14:textId="03A3EFA3"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As for the increase in assets, a major contributor to this increase was a ¥</w:t>
      </w:r>
      <w:r w:rsidR="002B4C0C">
        <w:rPr>
          <w:rFonts w:ascii="Arial" w:hAnsi="Arial" w:cs="Arial"/>
          <w:color w:val="000000" w:themeColor="text1"/>
          <w:sz w:val="20"/>
          <w:szCs w:val="20"/>
        </w:rPr>
        <w:t>1,234</w:t>
      </w:r>
      <w:r>
        <w:rPr>
          <w:rFonts w:ascii="Arial" w:hAnsi="Arial" w:cs="Arial"/>
          <w:color w:val="000000" w:themeColor="text1"/>
          <w:sz w:val="20"/>
          <w:szCs w:val="20"/>
        </w:rPr>
        <w:t xml:space="preserve"> million increase in the fixed asset balance due to an increase in the “other” category within property, plant and equipment (construction in progress) in line with the construction of logistics facilities in Saitama and Yokohama; this is despite the decrease in current assets by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arising from the net reduction of inventory caused by the completion of construction and sales of logistic centers held for sales.   </w:t>
      </w:r>
    </w:p>
    <w:p w14:paraId="3958F0C8" w14:textId="3AF3397D"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Liabilities were ¥</w:t>
      </w:r>
      <w:r w:rsidR="002B4C0C">
        <w:rPr>
          <w:rFonts w:ascii="Arial" w:hAnsi="Arial" w:cs="Arial"/>
          <w:color w:val="000000" w:themeColor="text1"/>
          <w:sz w:val="20"/>
          <w:szCs w:val="20"/>
        </w:rPr>
        <w:t>12</w:t>
      </w:r>
      <w:r>
        <w:rPr>
          <w:rFonts w:ascii="Arial" w:hAnsi="Arial" w:cs="Arial"/>
          <w:color w:val="000000" w:themeColor="text1"/>
          <w:sz w:val="20"/>
          <w:szCs w:val="20"/>
        </w:rPr>
        <w:t>,</w:t>
      </w:r>
      <w:r w:rsidR="002B4C0C">
        <w:rPr>
          <w:rFonts w:ascii="Arial" w:hAnsi="Arial" w:cs="Arial"/>
          <w:color w:val="000000" w:themeColor="text1"/>
          <w:sz w:val="20"/>
          <w:szCs w:val="20"/>
        </w:rPr>
        <w:t>345</w:t>
      </w:r>
      <w:r>
        <w:rPr>
          <w:rFonts w:ascii="Arial" w:hAnsi="Arial" w:cs="Arial"/>
          <w:color w:val="000000" w:themeColor="text1"/>
          <w:sz w:val="20"/>
          <w:szCs w:val="20"/>
        </w:rPr>
        <w:t xml:space="preserve"> million, a decrease of ¥</w:t>
      </w:r>
      <w:r w:rsidR="002B4C0C">
        <w:rPr>
          <w:rFonts w:ascii="Arial" w:hAnsi="Arial" w:cs="Arial"/>
          <w:color w:val="000000" w:themeColor="text1"/>
          <w:sz w:val="20"/>
          <w:szCs w:val="20"/>
        </w:rPr>
        <w:t>123</w:t>
      </w:r>
      <w:r>
        <w:rPr>
          <w:rFonts w:ascii="Arial" w:hAnsi="Arial" w:cs="Arial"/>
          <w:color w:val="000000" w:themeColor="text1"/>
          <w:sz w:val="20"/>
          <w:szCs w:val="20"/>
        </w:rPr>
        <w:t xml:space="preserve"> million compared to the end of the prior consolidated fiscal year (i.e., December 31, 2014).   This was largely attributable to the decrease in the net reduction of short-term loan payables by ¥</w:t>
      </w:r>
      <w:r w:rsidR="002B4C0C">
        <w:rPr>
          <w:rFonts w:ascii="Arial" w:hAnsi="Arial" w:cs="Arial"/>
          <w:color w:val="000000" w:themeColor="text1"/>
          <w:sz w:val="20"/>
          <w:szCs w:val="20"/>
        </w:rPr>
        <w:t>1</w:t>
      </w:r>
      <w:r>
        <w:rPr>
          <w:rFonts w:ascii="Arial" w:hAnsi="Arial" w:cs="Arial"/>
          <w:color w:val="000000" w:themeColor="text1"/>
          <w:sz w:val="20"/>
          <w:szCs w:val="20"/>
        </w:rPr>
        <w:t>,2</w:t>
      </w:r>
      <w:r w:rsidR="002B4C0C">
        <w:rPr>
          <w:rFonts w:ascii="Arial" w:hAnsi="Arial" w:cs="Arial"/>
          <w:color w:val="000000" w:themeColor="text1"/>
          <w:sz w:val="20"/>
          <w:szCs w:val="20"/>
        </w:rPr>
        <w:t>34</w:t>
      </w:r>
      <w:r>
        <w:rPr>
          <w:rFonts w:ascii="Arial" w:hAnsi="Arial" w:cs="Arial"/>
          <w:color w:val="000000" w:themeColor="text1"/>
          <w:sz w:val="20"/>
          <w:szCs w:val="20"/>
        </w:rPr>
        <w:t xml:space="preserve"> million, although there was an increase in non-current liabilities by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caused by factors such as an increase in long-term loans payables.</w:t>
      </w:r>
    </w:p>
    <w:p w14:paraId="2419F29D" w14:textId="47471202"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Net assets totaled ¥</w:t>
      </w:r>
      <w:r w:rsidR="002B4C0C">
        <w:rPr>
          <w:rFonts w:ascii="Arial" w:hAnsi="Arial" w:cs="Arial"/>
          <w:color w:val="000000" w:themeColor="text1"/>
          <w:sz w:val="20"/>
          <w:szCs w:val="20"/>
        </w:rPr>
        <w:t>12</w:t>
      </w:r>
      <w:r>
        <w:rPr>
          <w:rFonts w:ascii="Arial" w:hAnsi="Arial" w:cs="Arial"/>
          <w:color w:val="000000" w:themeColor="text1"/>
          <w:sz w:val="20"/>
          <w:szCs w:val="20"/>
        </w:rPr>
        <w:t>,</w:t>
      </w:r>
      <w:r w:rsidR="002B4C0C">
        <w:rPr>
          <w:rFonts w:ascii="Arial" w:hAnsi="Arial" w:cs="Arial"/>
          <w:color w:val="000000" w:themeColor="text1"/>
          <w:sz w:val="20"/>
          <w:szCs w:val="20"/>
        </w:rPr>
        <w:t>345</w:t>
      </w:r>
      <w:r>
        <w:rPr>
          <w:rFonts w:ascii="Arial" w:hAnsi="Arial" w:cs="Arial"/>
          <w:color w:val="000000" w:themeColor="text1"/>
          <w:sz w:val="20"/>
          <w:szCs w:val="20"/>
        </w:rPr>
        <w:t xml:space="preserve"> million, which was an increase of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compared to the end of the prior consolidated fiscal year (i.e., December 31, 2014). The key factor was that the Company recorded a net quarterly income of ¥</w:t>
      </w:r>
      <w:r w:rsidR="002B4C0C">
        <w:rPr>
          <w:rFonts w:ascii="Arial" w:hAnsi="Arial" w:cs="Arial"/>
          <w:color w:val="000000" w:themeColor="text1"/>
          <w:sz w:val="20"/>
          <w:szCs w:val="20"/>
        </w:rPr>
        <w:t>1</w:t>
      </w:r>
      <w:r>
        <w:rPr>
          <w:rFonts w:ascii="Arial" w:hAnsi="Arial" w:cs="Arial"/>
          <w:color w:val="000000" w:themeColor="text1"/>
          <w:sz w:val="20"/>
          <w:szCs w:val="20"/>
        </w:rPr>
        <w:t>,</w:t>
      </w:r>
      <w:r w:rsidR="002B4C0C">
        <w:rPr>
          <w:rFonts w:ascii="Arial" w:hAnsi="Arial" w:cs="Arial"/>
          <w:color w:val="000000" w:themeColor="text1"/>
          <w:sz w:val="20"/>
          <w:szCs w:val="20"/>
        </w:rPr>
        <w:t>234</w:t>
      </w:r>
      <w:r>
        <w:rPr>
          <w:rFonts w:ascii="Arial" w:hAnsi="Arial" w:cs="Arial"/>
          <w:color w:val="000000" w:themeColor="text1"/>
          <w:sz w:val="20"/>
          <w:szCs w:val="20"/>
        </w:rPr>
        <w:t xml:space="preserve"> million, and that there was an increase of ¥</w:t>
      </w:r>
      <w:r w:rsidR="002B4C0C">
        <w:rPr>
          <w:rFonts w:ascii="Arial" w:hAnsi="Arial" w:cs="Arial"/>
          <w:color w:val="000000" w:themeColor="text1"/>
          <w:sz w:val="20"/>
          <w:szCs w:val="20"/>
        </w:rPr>
        <w:t>123</w:t>
      </w:r>
      <w:r>
        <w:rPr>
          <w:rFonts w:ascii="Arial" w:hAnsi="Arial" w:cs="Arial"/>
          <w:color w:val="000000" w:themeColor="text1"/>
          <w:sz w:val="20"/>
          <w:szCs w:val="20"/>
        </w:rPr>
        <w:t xml:space="preserve"> million in foreign exchange conversion adjustments account, despite making a dividend distribution of ¥</w:t>
      </w:r>
      <w:r w:rsidR="002B4C0C">
        <w:rPr>
          <w:rFonts w:ascii="Arial" w:hAnsi="Arial" w:cs="Arial"/>
          <w:color w:val="000000" w:themeColor="text1"/>
          <w:sz w:val="20"/>
          <w:szCs w:val="20"/>
        </w:rPr>
        <w:t>123</w:t>
      </w:r>
      <w:r>
        <w:rPr>
          <w:rFonts w:ascii="Arial" w:hAnsi="Arial" w:cs="Arial"/>
          <w:color w:val="000000" w:themeColor="text1"/>
          <w:sz w:val="20"/>
          <w:szCs w:val="20"/>
        </w:rPr>
        <w:t xml:space="preserve"> million.</w:t>
      </w:r>
    </w:p>
    <w:p w14:paraId="127D2F3B" w14:textId="77777777" w:rsidR="00982915" w:rsidRDefault="00982915">
      <w:pPr>
        <w:tabs>
          <w:tab w:val="left" w:pos="426"/>
        </w:tabs>
        <w:spacing w:after="0" w:line="240" w:lineRule="auto"/>
        <w:jc w:val="both"/>
        <w:rPr>
          <w:rFonts w:ascii="Arial" w:hAnsi="Arial" w:cs="Arial"/>
          <w:b/>
          <w:bCs/>
          <w:color w:val="000000" w:themeColor="text1"/>
          <w:sz w:val="20"/>
          <w:szCs w:val="20"/>
        </w:rPr>
      </w:pPr>
    </w:p>
    <w:p w14:paraId="678994C4" w14:textId="77777777" w:rsidR="00982915" w:rsidRDefault="00EB6F73">
      <w:pPr>
        <w:tabs>
          <w:tab w:val="left" w:pos="426"/>
        </w:tabs>
        <w:spacing w:after="0" w:line="240" w:lineRule="auto"/>
        <w:jc w:val="both"/>
        <w:rPr>
          <w:rFonts w:ascii="Arial" w:hAnsi="Arial" w:cs="Arial"/>
          <w:b/>
          <w:bCs/>
          <w:color w:val="000000" w:themeColor="text1"/>
          <w:sz w:val="21"/>
          <w:szCs w:val="20"/>
        </w:rPr>
      </w:pPr>
      <w:r>
        <w:rPr>
          <w:rFonts w:ascii="Arial" w:hAnsi="Arial" w:cs="Arial"/>
          <w:b/>
          <w:bCs/>
          <w:color w:val="000000" w:themeColor="text1"/>
          <w:sz w:val="21"/>
          <w:szCs w:val="20"/>
        </w:rPr>
        <w:t>3. Explanation of Forecast of Consolidated Business Results and Other Forecasts</w:t>
      </w:r>
    </w:p>
    <w:p w14:paraId="241D1519" w14:textId="77777777"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Results for both sales volume and operating income during this consolidated cumulative third quarter unfolded favorably. Ordinary income and quarterly net income yielded results much higher than planned, due to the booking of a foreign exchange gain.</w:t>
      </w:r>
    </w:p>
    <w:p w14:paraId="0ABF1728" w14:textId="78931543" w:rsidR="00982915" w:rsidRDefault="00EB6F73">
      <w:pPr>
        <w:tabs>
          <w:tab w:val="left" w:pos="567"/>
        </w:tabs>
        <w:spacing w:after="0" w:line="240" w:lineRule="auto"/>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As for the business environment moving towards period-end, it is assumed that vehicle-hiring costs and labor costs will continue to rise due to shortages of drivers and labor, despite lower fuel prices. As for the movement of goods, there are concerns about reduction or stagnation due to sluggish domestic consumption caused by rising food prices </w:t>
      </w:r>
      <w:proofErr w:type="gramStart"/>
      <w:r>
        <w:rPr>
          <w:rFonts w:ascii="Arial" w:hAnsi="Arial" w:cs="Arial"/>
          <w:color w:val="000000" w:themeColor="text1"/>
          <w:sz w:val="20"/>
          <w:szCs w:val="20"/>
        </w:rPr>
        <w:t>etc., and</w:t>
      </w:r>
      <w:proofErr w:type="gramEnd"/>
      <w:r>
        <w:rPr>
          <w:rFonts w:ascii="Arial" w:hAnsi="Arial" w:cs="Arial"/>
          <w:color w:val="000000" w:themeColor="text1"/>
          <w:sz w:val="20"/>
          <w:szCs w:val="20"/>
        </w:rPr>
        <w:t xml:space="preserve"> slowing foreign demand such as that of China.</w:t>
      </w:r>
    </w:p>
    <w:p w14:paraId="5FE82069" w14:textId="77777777" w:rsidR="00982915" w:rsidRDefault="00EB6F73">
      <w:pPr>
        <w:autoSpaceDE w:val="0"/>
        <w:autoSpaceDN w:val="0"/>
        <w:adjustRightInd w:val="0"/>
        <w:spacing w:after="0" w:line="240" w:lineRule="auto"/>
        <w:ind w:firstLine="567"/>
        <w:jc w:val="both"/>
        <w:rPr>
          <w:rFonts w:ascii="Arial" w:hAnsi="Arial" w:cs="Arial"/>
          <w:color w:val="000000" w:themeColor="text1"/>
          <w:sz w:val="20"/>
          <w:szCs w:val="20"/>
        </w:rPr>
      </w:pPr>
      <w:r>
        <w:rPr>
          <w:rFonts w:ascii="Arial" w:hAnsi="Arial" w:cs="Arial"/>
          <w:color w:val="000000" w:themeColor="text1"/>
          <w:sz w:val="20"/>
          <w:szCs w:val="20"/>
        </w:rPr>
        <w:t>Given these conditions, at present we maintain our consolidated business results forecast for the year ending December 31, 2015, unchanged from that announced on February 13, 2015. If we judge that a revision is warranted, we will disclose such information promptly.</w:t>
      </w:r>
    </w:p>
    <w:p w14:paraId="673055E7" w14:textId="77777777" w:rsidR="00982915" w:rsidRDefault="00982915">
      <w:pPr>
        <w:tabs>
          <w:tab w:val="left" w:pos="567"/>
        </w:tabs>
        <w:spacing w:after="0" w:line="240" w:lineRule="auto"/>
        <w:ind w:left="360"/>
        <w:jc w:val="both"/>
        <w:rPr>
          <w:rFonts w:ascii="Arial" w:hAnsi="Arial" w:cs="Arial"/>
          <w:b/>
          <w:bCs/>
          <w:color w:val="000000" w:themeColor="text1"/>
          <w:sz w:val="20"/>
          <w:szCs w:val="20"/>
        </w:rPr>
      </w:pPr>
    </w:p>
    <w:p w14:paraId="445C5F20" w14:textId="77777777" w:rsidR="00982915" w:rsidRDefault="00982915">
      <w:pPr>
        <w:tabs>
          <w:tab w:val="left" w:pos="567"/>
        </w:tabs>
        <w:spacing w:after="0" w:line="240" w:lineRule="auto"/>
        <w:ind w:left="360"/>
        <w:jc w:val="both"/>
        <w:rPr>
          <w:rFonts w:ascii="Arial" w:hAnsi="Arial" w:cs="Arial"/>
          <w:b/>
          <w:bCs/>
          <w:color w:val="000000" w:themeColor="text1"/>
          <w:sz w:val="20"/>
          <w:szCs w:val="20"/>
        </w:rPr>
      </w:pPr>
    </w:p>
    <w:p w14:paraId="26BA3128" w14:textId="77777777" w:rsidR="00982915" w:rsidRDefault="00EB6F73">
      <w:pPr>
        <w:rPr>
          <w:rFonts w:ascii="Arial" w:hAnsi="Arial" w:cs="Arial"/>
          <w:b/>
          <w:bCs/>
          <w:color w:val="000000" w:themeColor="text1"/>
          <w:sz w:val="32"/>
          <w:szCs w:val="20"/>
        </w:rPr>
      </w:pPr>
      <w:r>
        <w:rPr>
          <w:rFonts w:ascii="Arial" w:hAnsi="Arial" w:cs="Arial"/>
          <w:b/>
          <w:bCs/>
          <w:color w:val="000000" w:themeColor="text1"/>
          <w:sz w:val="32"/>
          <w:szCs w:val="20"/>
        </w:rPr>
        <w:br w:type="page"/>
      </w:r>
    </w:p>
    <w:p w14:paraId="4FFC9FE6" w14:textId="77777777" w:rsidR="00982915" w:rsidRDefault="00EB6F73">
      <w:pPr>
        <w:tabs>
          <w:tab w:val="left" w:pos="426"/>
        </w:tabs>
        <w:spacing w:after="0" w:line="240" w:lineRule="auto"/>
        <w:jc w:val="both"/>
        <w:rPr>
          <w:rFonts w:ascii="Arial" w:hAnsi="Arial" w:cs="Arial"/>
          <w:color w:val="000000" w:themeColor="text1"/>
          <w:sz w:val="32"/>
          <w:szCs w:val="20"/>
        </w:rPr>
      </w:pPr>
      <w:r>
        <w:rPr>
          <w:rFonts w:ascii="Arial" w:hAnsi="Arial" w:cs="Arial"/>
          <w:b/>
          <w:bCs/>
          <w:color w:val="000000" w:themeColor="text1"/>
          <w:sz w:val="32"/>
          <w:szCs w:val="20"/>
        </w:rPr>
        <w:lastRenderedPageBreak/>
        <w:t>II. Summary Information (Notes)</w:t>
      </w:r>
    </w:p>
    <w:p w14:paraId="298F28A0" w14:textId="77777777" w:rsidR="00982915" w:rsidRDefault="00982915">
      <w:pPr>
        <w:tabs>
          <w:tab w:val="left" w:pos="426"/>
        </w:tabs>
        <w:spacing w:after="0" w:line="240" w:lineRule="auto"/>
        <w:jc w:val="both"/>
        <w:rPr>
          <w:rFonts w:ascii="Arial" w:hAnsi="Arial" w:cs="Arial"/>
          <w:color w:val="000000" w:themeColor="text1"/>
          <w:sz w:val="36"/>
          <w:szCs w:val="20"/>
        </w:rPr>
      </w:pPr>
    </w:p>
    <w:p w14:paraId="74165571" w14:textId="77777777" w:rsidR="00982915" w:rsidRDefault="00EB6F73">
      <w:pPr>
        <w:tabs>
          <w:tab w:val="left" w:pos="426"/>
        </w:tabs>
        <w:spacing w:after="0" w:line="240" w:lineRule="auto"/>
        <w:jc w:val="both"/>
        <w:rPr>
          <w:rFonts w:ascii="Arial" w:hAnsi="Arial" w:cs="Arial"/>
          <w:b/>
          <w:bCs/>
          <w:color w:val="000000" w:themeColor="text1"/>
          <w:sz w:val="20"/>
          <w:szCs w:val="20"/>
        </w:rPr>
      </w:pPr>
      <w:r>
        <w:rPr>
          <w:rFonts w:ascii="Arial" w:hAnsi="Arial" w:cs="Arial"/>
          <w:b/>
          <w:bCs/>
          <w:color w:val="000000" w:themeColor="text1"/>
          <w:sz w:val="21"/>
          <w:szCs w:val="20"/>
        </w:rPr>
        <w:t>1. Important Changes of Subsidiaries during this consolidated cumulative quarterly period</w:t>
      </w:r>
    </w:p>
    <w:p w14:paraId="17D8CFA8" w14:textId="77777777" w:rsidR="00982915" w:rsidRDefault="00EB6F73">
      <w:pPr>
        <w:tabs>
          <w:tab w:val="left" w:pos="567"/>
        </w:tabs>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No applicable items.</w:t>
      </w:r>
    </w:p>
    <w:p w14:paraId="73A32064" w14:textId="1DAF1F53"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Although there were no changes in specific subsidiaries, during the first quarter of the fiscal year, the Company established </w:t>
      </w:r>
      <w:r w:rsidR="000741BD">
        <w:rPr>
          <w:rFonts w:ascii="Arial" w:hAnsi="Arial" w:cs="Arial"/>
          <w:color w:val="000000" w:themeColor="text1"/>
          <w:sz w:val="20"/>
          <w:szCs w:val="20"/>
        </w:rPr>
        <w:t xml:space="preserve">XYZ </w:t>
      </w:r>
      <w:r>
        <w:rPr>
          <w:rFonts w:ascii="Arial" w:hAnsi="Arial" w:cs="Arial"/>
          <w:color w:val="000000" w:themeColor="text1"/>
          <w:sz w:val="20"/>
          <w:szCs w:val="20"/>
        </w:rPr>
        <w:t xml:space="preserve">Kita Kanto Co., Ltd., and </w:t>
      </w:r>
      <w:r w:rsidR="000741BD">
        <w:rPr>
          <w:rFonts w:ascii="Arial" w:hAnsi="Arial" w:cs="Arial"/>
          <w:color w:val="000000" w:themeColor="text1"/>
          <w:sz w:val="20"/>
          <w:szCs w:val="20"/>
        </w:rPr>
        <w:t xml:space="preserve">XYZ </w:t>
      </w:r>
      <w:r>
        <w:rPr>
          <w:rFonts w:ascii="Arial" w:hAnsi="Arial" w:cs="Arial"/>
          <w:color w:val="000000" w:themeColor="text1"/>
          <w:sz w:val="20"/>
          <w:szCs w:val="20"/>
        </w:rPr>
        <w:t xml:space="preserve">Minami Kanto Co., Ltd., which were newly included in the scope of consolidation. Also, as the liquidation of </w:t>
      </w:r>
      <w:r w:rsidR="000741BD">
        <w:rPr>
          <w:rFonts w:ascii="Arial" w:hAnsi="Arial" w:cs="Arial"/>
          <w:color w:val="000000" w:themeColor="text1"/>
          <w:sz w:val="20"/>
          <w:szCs w:val="20"/>
        </w:rPr>
        <w:t xml:space="preserve">(company name) </w:t>
      </w:r>
      <w:r>
        <w:rPr>
          <w:rFonts w:ascii="Arial" w:hAnsi="Arial" w:cs="Arial"/>
          <w:color w:val="000000" w:themeColor="text1"/>
          <w:sz w:val="20"/>
          <w:szCs w:val="20"/>
        </w:rPr>
        <w:t>Ltd., was completed, this company was excluded from the scope of consolidation. Furthermore, five companies—</w:t>
      </w:r>
      <w:r w:rsidR="000741BD">
        <w:rPr>
          <w:rFonts w:ascii="Arial" w:hAnsi="Arial" w:cs="Arial"/>
          <w:color w:val="000000" w:themeColor="text1"/>
          <w:sz w:val="20"/>
          <w:szCs w:val="20"/>
        </w:rPr>
        <w:t xml:space="preserve"> Co. 1, Co. 2, Co. 3, Co. 4, Co. 5. </w:t>
      </w:r>
      <w:r>
        <w:rPr>
          <w:rFonts w:ascii="Arial" w:hAnsi="Arial" w:cs="Arial"/>
          <w:color w:val="000000" w:themeColor="text1"/>
          <w:sz w:val="20"/>
          <w:szCs w:val="20"/>
        </w:rPr>
        <w:t xml:space="preserve">merged with </w:t>
      </w:r>
      <w:r w:rsidR="000741BD">
        <w:rPr>
          <w:rFonts w:ascii="Arial" w:hAnsi="Arial" w:cs="Arial"/>
          <w:color w:val="000000" w:themeColor="text1"/>
          <w:sz w:val="20"/>
          <w:szCs w:val="20"/>
        </w:rPr>
        <w:t xml:space="preserve">XYZ </w:t>
      </w:r>
      <w:r>
        <w:rPr>
          <w:rFonts w:ascii="Arial" w:hAnsi="Arial" w:cs="Arial"/>
          <w:color w:val="000000" w:themeColor="text1"/>
          <w:sz w:val="20"/>
          <w:szCs w:val="20"/>
        </w:rPr>
        <w:t xml:space="preserve">Kanto Co., Ltd., the surviving company. Those five companies were therefore excluded from the scope of consolidation. The company name of </w:t>
      </w:r>
      <w:r w:rsidR="000741BD">
        <w:rPr>
          <w:rFonts w:ascii="Arial" w:hAnsi="Arial" w:cs="Arial"/>
          <w:color w:val="000000" w:themeColor="text1"/>
          <w:sz w:val="20"/>
          <w:szCs w:val="20"/>
        </w:rPr>
        <w:t xml:space="preserve">XYZ </w:t>
      </w:r>
      <w:r>
        <w:rPr>
          <w:rFonts w:ascii="Arial" w:hAnsi="Arial" w:cs="Arial"/>
          <w:color w:val="000000" w:themeColor="text1"/>
          <w:sz w:val="20"/>
          <w:szCs w:val="20"/>
        </w:rPr>
        <w:t xml:space="preserve">Kanto Co., Ltd., was subsequently changed to </w:t>
      </w:r>
      <w:r w:rsidR="000741BD">
        <w:rPr>
          <w:rFonts w:ascii="Arial" w:hAnsi="Arial" w:cs="Arial"/>
          <w:color w:val="000000" w:themeColor="text1"/>
          <w:sz w:val="20"/>
          <w:szCs w:val="20"/>
        </w:rPr>
        <w:t xml:space="preserve">XYZ </w:t>
      </w:r>
      <w:r>
        <w:rPr>
          <w:rFonts w:ascii="Arial" w:hAnsi="Arial" w:cs="Arial"/>
          <w:color w:val="000000" w:themeColor="text1"/>
          <w:sz w:val="20"/>
          <w:szCs w:val="20"/>
        </w:rPr>
        <w:t>Net Co., Ltd.</w:t>
      </w:r>
    </w:p>
    <w:p w14:paraId="541E9DA7" w14:textId="05505BBE" w:rsidR="00982915" w:rsidRDefault="00EB6F73">
      <w:pPr>
        <w:tabs>
          <w:tab w:val="left" w:pos="567"/>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From this consolidated third quarterly period onward, the incorporation of </w:t>
      </w:r>
      <w:r w:rsidR="000741BD">
        <w:rPr>
          <w:rFonts w:ascii="Arial" w:hAnsi="Arial" w:cs="Arial"/>
          <w:color w:val="000000" w:themeColor="text1"/>
          <w:sz w:val="20"/>
          <w:szCs w:val="20"/>
        </w:rPr>
        <w:t xml:space="preserve">XYZ </w:t>
      </w:r>
      <w:r>
        <w:rPr>
          <w:rFonts w:ascii="Arial" w:hAnsi="Arial" w:cs="Arial"/>
          <w:color w:val="000000" w:themeColor="text1"/>
          <w:sz w:val="20"/>
          <w:szCs w:val="20"/>
        </w:rPr>
        <w:t xml:space="preserve">Singapore Pte. Ltd., will result in its inclusion within the scope of consolidation. Further, </w:t>
      </w:r>
      <w:r w:rsidR="000741BD">
        <w:rPr>
          <w:rFonts w:ascii="Arial" w:hAnsi="Arial" w:cs="Arial"/>
          <w:color w:val="000000" w:themeColor="text1"/>
          <w:sz w:val="20"/>
          <w:szCs w:val="20"/>
        </w:rPr>
        <w:t xml:space="preserve">XYZ (service name) </w:t>
      </w:r>
      <w:r>
        <w:rPr>
          <w:rFonts w:ascii="Arial" w:hAnsi="Arial" w:cs="Arial"/>
          <w:color w:val="000000" w:themeColor="text1"/>
          <w:sz w:val="20"/>
          <w:szCs w:val="20"/>
        </w:rPr>
        <w:t xml:space="preserve">Co., Ltd., will be excluded from consolidation because it has merged with </w:t>
      </w:r>
      <w:r w:rsidR="000741BD">
        <w:rPr>
          <w:rFonts w:ascii="Arial" w:hAnsi="Arial" w:cs="Arial"/>
          <w:color w:val="000000" w:themeColor="text1"/>
          <w:sz w:val="20"/>
          <w:szCs w:val="20"/>
        </w:rPr>
        <w:t xml:space="preserve">XYZ </w:t>
      </w:r>
      <w:r>
        <w:rPr>
          <w:rFonts w:ascii="Arial" w:hAnsi="Arial" w:cs="Arial"/>
          <w:color w:val="000000" w:themeColor="text1"/>
          <w:sz w:val="20"/>
          <w:szCs w:val="20"/>
        </w:rPr>
        <w:t xml:space="preserve">Support Co., Ltd., which became the surviving company. Furthermore, </w:t>
      </w:r>
      <w:r w:rsidR="000741BD">
        <w:rPr>
          <w:rFonts w:ascii="Arial" w:hAnsi="Arial" w:cs="Arial"/>
          <w:color w:val="000000" w:themeColor="text1"/>
          <w:sz w:val="20"/>
          <w:szCs w:val="20"/>
        </w:rPr>
        <w:t xml:space="preserve">XYZ Support </w:t>
      </w:r>
      <w:r>
        <w:rPr>
          <w:rFonts w:ascii="Arial" w:hAnsi="Arial" w:cs="Arial"/>
          <w:color w:val="000000" w:themeColor="text1"/>
          <w:sz w:val="20"/>
          <w:szCs w:val="20"/>
        </w:rPr>
        <w:t xml:space="preserve">Co., Ltd. has changed its trade name to </w:t>
      </w:r>
      <w:r w:rsidR="000741BD">
        <w:rPr>
          <w:rFonts w:ascii="Arial" w:hAnsi="Arial" w:cs="Arial"/>
          <w:color w:val="000000" w:themeColor="text1"/>
          <w:sz w:val="20"/>
          <w:szCs w:val="20"/>
        </w:rPr>
        <w:t xml:space="preserve">XYZ (service name) </w:t>
      </w:r>
      <w:r>
        <w:rPr>
          <w:rFonts w:ascii="Arial" w:hAnsi="Arial" w:cs="Arial"/>
          <w:color w:val="000000" w:themeColor="text1"/>
          <w:sz w:val="20"/>
          <w:szCs w:val="20"/>
        </w:rPr>
        <w:t xml:space="preserve">Support Co., Ltd. </w:t>
      </w:r>
    </w:p>
    <w:p w14:paraId="3592FD4A" w14:textId="77777777" w:rsidR="00982915" w:rsidRDefault="00982915">
      <w:pPr>
        <w:tabs>
          <w:tab w:val="left" w:pos="567"/>
        </w:tabs>
        <w:spacing w:after="0" w:line="240" w:lineRule="auto"/>
        <w:jc w:val="both"/>
        <w:rPr>
          <w:rFonts w:ascii="Arial" w:hAnsi="Arial" w:cs="Arial"/>
          <w:color w:val="000000" w:themeColor="text1"/>
          <w:sz w:val="20"/>
          <w:szCs w:val="20"/>
        </w:rPr>
      </w:pPr>
    </w:p>
    <w:p w14:paraId="630BCFC1" w14:textId="77777777" w:rsidR="00982915" w:rsidRDefault="00EB6F73">
      <w:pPr>
        <w:tabs>
          <w:tab w:val="left" w:pos="426"/>
        </w:tabs>
        <w:spacing w:after="0" w:line="240" w:lineRule="auto"/>
        <w:jc w:val="both"/>
        <w:rPr>
          <w:rFonts w:ascii="Arial" w:hAnsi="Arial" w:cs="Arial"/>
          <w:b/>
          <w:bCs/>
          <w:color w:val="000000" w:themeColor="text1"/>
          <w:sz w:val="21"/>
          <w:szCs w:val="20"/>
        </w:rPr>
      </w:pPr>
      <w:r>
        <w:rPr>
          <w:rFonts w:ascii="Arial" w:hAnsi="Arial" w:cs="Arial"/>
          <w:b/>
          <w:bCs/>
          <w:color w:val="000000" w:themeColor="text1"/>
          <w:sz w:val="21"/>
          <w:szCs w:val="20"/>
        </w:rPr>
        <w:t>2. Application of Accounting Principles and Procedures Specific to the Preparation of Consolidated Quarterly Financial Statements</w:t>
      </w:r>
    </w:p>
    <w:p w14:paraId="572E1114" w14:textId="77777777" w:rsidR="00982915" w:rsidRDefault="00EB6F73">
      <w:pPr>
        <w:tabs>
          <w:tab w:val="left" w:pos="426"/>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 applicable items.</w:t>
      </w:r>
    </w:p>
    <w:p w14:paraId="1D5210AC" w14:textId="77777777" w:rsidR="00982915" w:rsidRDefault="00982915">
      <w:pPr>
        <w:pStyle w:val="ListParagraph"/>
        <w:tabs>
          <w:tab w:val="left" w:pos="426"/>
        </w:tabs>
        <w:spacing w:after="0" w:line="240" w:lineRule="auto"/>
        <w:ind w:left="426"/>
        <w:jc w:val="both"/>
        <w:rPr>
          <w:rFonts w:ascii="Arial" w:hAnsi="Arial" w:cs="Arial"/>
          <w:color w:val="000000" w:themeColor="text1"/>
          <w:sz w:val="20"/>
          <w:szCs w:val="20"/>
        </w:rPr>
      </w:pPr>
    </w:p>
    <w:p w14:paraId="7056593E" w14:textId="77777777" w:rsidR="00982915" w:rsidRDefault="00EB6F73">
      <w:pPr>
        <w:tabs>
          <w:tab w:val="left" w:pos="426"/>
        </w:tabs>
        <w:spacing w:after="0" w:line="240" w:lineRule="auto"/>
        <w:jc w:val="both"/>
        <w:rPr>
          <w:rFonts w:ascii="Arial" w:hAnsi="Arial" w:cs="Arial"/>
          <w:b/>
          <w:bCs/>
          <w:color w:val="000000" w:themeColor="text1"/>
          <w:sz w:val="21"/>
          <w:szCs w:val="20"/>
        </w:rPr>
      </w:pPr>
      <w:r>
        <w:rPr>
          <w:rFonts w:ascii="Arial" w:hAnsi="Arial" w:cs="Arial"/>
          <w:b/>
          <w:bCs/>
          <w:color w:val="000000" w:themeColor="text1"/>
          <w:sz w:val="21"/>
          <w:szCs w:val="20"/>
        </w:rPr>
        <w:t>3. Changes in Accounting Principles, Changes in Accounting Estimates and Restatements</w:t>
      </w:r>
    </w:p>
    <w:p w14:paraId="3BAA99A8" w14:textId="77777777" w:rsidR="00982915" w:rsidRDefault="00EB6F73">
      <w:pPr>
        <w:tabs>
          <w:tab w:val="left" w:pos="426"/>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Changes in Accounting Principles</w:t>
      </w:r>
    </w:p>
    <w:p w14:paraId="1AD59EDF" w14:textId="77777777" w:rsidR="00982915" w:rsidRDefault="00EB6F73">
      <w:pPr>
        <w:tabs>
          <w:tab w:val="left" w:pos="426"/>
        </w:tabs>
        <w:spacing w:after="0" w:line="240" w:lineRule="auto"/>
        <w:jc w:val="both"/>
        <w:rPr>
          <w:rFonts w:ascii="Arial" w:hAnsi="Arial" w:cs="Arial"/>
          <w:iCs/>
          <w:color w:val="000000" w:themeColor="text1"/>
          <w:sz w:val="20"/>
          <w:szCs w:val="20"/>
        </w:rPr>
      </w:pPr>
      <w:r>
        <w:rPr>
          <w:rFonts w:ascii="Arial" w:hAnsi="Arial" w:cs="Arial"/>
          <w:iCs/>
          <w:color w:val="000000" w:themeColor="text1"/>
          <w:sz w:val="20"/>
          <w:szCs w:val="20"/>
        </w:rPr>
        <w:t>(Application of Accounting Standards for Retirement Benefits)</w:t>
      </w:r>
    </w:p>
    <w:p w14:paraId="103C8684" w14:textId="77777777" w:rsidR="00982915" w:rsidRDefault="00EB6F73">
      <w:pPr>
        <w:tabs>
          <w:tab w:val="left" w:pos="426"/>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The Company has applied Clause 35 of the “Accounting Standard for Retirement Benefits” (</w:t>
      </w:r>
      <w:proofErr w:type="spellStart"/>
      <w:r>
        <w:rPr>
          <w:rFonts w:ascii="Arial" w:hAnsi="Arial" w:cs="Arial"/>
          <w:color w:val="000000" w:themeColor="text1"/>
          <w:sz w:val="20"/>
          <w:szCs w:val="20"/>
        </w:rPr>
        <w:t>ASBJ</w:t>
      </w:r>
      <w:proofErr w:type="spellEnd"/>
      <w:r>
        <w:rPr>
          <w:rFonts w:ascii="Arial" w:hAnsi="Arial" w:cs="Arial"/>
          <w:color w:val="000000" w:themeColor="text1"/>
          <w:sz w:val="20"/>
          <w:szCs w:val="20"/>
        </w:rPr>
        <w:t xml:space="preserve"> Statement No. 26, May 17, 2012) and Clause 67 of the “Guidance on Accounting Standard for Retirement Benefits” (</w:t>
      </w:r>
      <w:proofErr w:type="spellStart"/>
      <w:r>
        <w:rPr>
          <w:rFonts w:ascii="Arial" w:hAnsi="Arial" w:cs="Arial"/>
          <w:color w:val="000000" w:themeColor="text1"/>
          <w:sz w:val="20"/>
          <w:szCs w:val="20"/>
        </w:rPr>
        <w:t>ASBJ</w:t>
      </w:r>
      <w:proofErr w:type="spellEnd"/>
      <w:r>
        <w:rPr>
          <w:rFonts w:ascii="Arial" w:hAnsi="Arial" w:cs="Arial"/>
          <w:color w:val="000000" w:themeColor="text1"/>
          <w:sz w:val="20"/>
          <w:szCs w:val="20"/>
        </w:rPr>
        <w:t xml:space="preserve"> Guidance No. 25, portion announced on May 17, 2012) from the first quarter of the fiscal year under review. Accordingly, the Company has reviewed its calculation method for retirement benefit obligations and service costs, changed the method of attributing expected benefit to periods from the straight-line basis to the benefit formula basis, and changed the method of determination of the discount rate.</w:t>
      </w:r>
    </w:p>
    <w:p w14:paraId="7D011D96" w14:textId="77777777" w:rsidR="00982915" w:rsidRDefault="00EB6F73">
      <w:pPr>
        <w:tabs>
          <w:tab w:val="left" w:pos="426"/>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Following Clause 37 of the “Accounting Standard for Retirement Benefits,” which stipulates transitional treatment of the new standard, the effect of the change in the calculation method of retirement benefit obligations and service costs is adjusted in retained earnings at the beginning of the first nine months under review.</w:t>
      </w:r>
    </w:p>
    <w:p w14:paraId="2ED90711" w14:textId="040C29D3" w:rsidR="00982915" w:rsidRDefault="00EB6F73">
      <w:pPr>
        <w:tabs>
          <w:tab w:val="left" w:pos="426"/>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The change had the effect, at the beginning of the nine months under review, of reducing liabilities related to retirement benefits by ¥</w:t>
      </w:r>
      <w:r w:rsidR="000741BD">
        <w:rPr>
          <w:rFonts w:ascii="Arial" w:hAnsi="Arial" w:cs="Arial"/>
          <w:color w:val="000000" w:themeColor="text1"/>
          <w:sz w:val="20"/>
          <w:szCs w:val="20"/>
        </w:rPr>
        <w:t>12</w:t>
      </w:r>
      <w:r>
        <w:rPr>
          <w:rFonts w:ascii="Arial" w:hAnsi="Arial" w:cs="Arial"/>
          <w:color w:val="000000" w:themeColor="text1"/>
          <w:sz w:val="20"/>
          <w:szCs w:val="20"/>
        </w:rPr>
        <w:t xml:space="preserve"> million, investment securities by ¥</w:t>
      </w:r>
      <w:r w:rsidR="000741BD">
        <w:rPr>
          <w:rFonts w:ascii="Arial" w:hAnsi="Arial" w:cs="Arial"/>
          <w:color w:val="000000" w:themeColor="text1"/>
          <w:sz w:val="20"/>
          <w:szCs w:val="20"/>
        </w:rPr>
        <w:t>12</w:t>
      </w:r>
      <w:r>
        <w:rPr>
          <w:rFonts w:ascii="Arial" w:hAnsi="Arial" w:cs="Arial"/>
          <w:color w:val="000000" w:themeColor="text1"/>
          <w:sz w:val="20"/>
          <w:szCs w:val="20"/>
        </w:rPr>
        <w:t xml:space="preserve"> million and retained earnings by ¥</w:t>
      </w:r>
      <w:r w:rsidR="000741BD">
        <w:rPr>
          <w:rFonts w:ascii="Arial" w:hAnsi="Arial" w:cs="Arial"/>
          <w:color w:val="000000" w:themeColor="text1"/>
          <w:sz w:val="20"/>
          <w:szCs w:val="20"/>
        </w:rPr>
        <w:t>12</w:t>
      </w:r>
      <w:r>
        <w:rPr>
          <w:rFonts w:ascii="Arial" w:hAnsi="Arial" w:cs="Arial"/>
          <w:color w:val="000000" w:themeColor="text1"/>
          <w:sz w:val="20"/>
          <w:szCs w:val="20"/>
        </w:rPr>
        <w:t xml:space="preserve"> million. The impact on operating income and ordinary income of this third consolidated cumulative quarter, and upon the net quarterly income before taxes and other adjustments, was slight.</w:t>
      </w:r>
    </w:p>
    <w:p w14:paraId="56F0EF84" w14:textId="77777777" w:rsidR="00982915" w:rsidRDefault="00982915">
      <w:pPr>
        <w:tabs>
          <w:tab w:val="left" w:pos="426"/>
        </w:tabs>
        <w:spacing w:after="0" w:line="240" w:lineRule="auto"/>
        <w:jc w:val="both"/>
        <w:rPr>
          <w:rFonts w:ascii="Arial" w:hAnsi="Arial" w:cs="Arial"/>
          <w:i/>
          <w:iCs/>
          <w:color w:val="000000" w:themeColor="text1"/>
          <w:sz w:val="20"/>
          <w:szCs w:val="20"/>
        </w:rPr>
      </w:pPr>
    </w:p>
    <w:p w14:paraId="74217AB5" w14:textId="77777777" w:rsidR="00982915" w:rsidRDefault="00EB6F73">
      <w:pPr>
        <w:tabs>
          <w:tab w:val="left" w:pos="426"/>
        </w:tabs>
        <w:spacing w:after="0" w:line="240" w:lineRule="auto"/>
        <w:jc w:val="both"/>
        <w:rPr>
          <w:rFonts w:ascii="Arial" w:hAnsi="Arial" w:cs="Arial"/>
          <w:iCs/>
          <w:color w:val="000000" w:themeColor="text1"/>
          <w:sz w:val="20"/>
          <w:szCs w:val="20"/>
        </w:rPr>
      </w:pPr>
      <w:r>
        <w:rPr>
          <w:rFonts w:ascii="Arial" w:hAnsi="Arial" w:cs="Arial"/>
          <w:iCs/>
          <w:color w:val="000000" w:themeColor="text1"/>
          <w:sz w:val="20"/>
          <w:szCs w:val="20"/>
        </w:rPr>
        <w:t>(Application of the Practical Solution on Transactions of Delivering the Company’s Own Stock to Employees etc. through Trusts)</w:t>
      </w:r>
    </w:p>
    <w:p w14:paraId="436D7734" w14:textId="77777777" w:rsidR="00982915" w:rsidRDefault="00EB6F73">
      <w:pPr>
        <w:tabs>
          <w:tab w:val="left" w:pos="426"/>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The Company applied the “Practical Solution on Transactions of Delivering the Company’s Own Stock to Employees etc. through Trusts” (Practical Issues Task Force No. 30, portion announced on December 25, 2013) from the first quarter of the current fiscal year. Accordingly, the Company recognizes at the time of disposal the difference arising from the disposal of treasury shares by the Company to the trust, and posts as liabilities the differences arising from the net amount of gain or loss from sales of shares sold by the trust to the employee stock ownership plan, dividends paid by the Company for the shares held by the trust, and miscellaneous expenses related to the trust. These accounting policies have been applied retroactively, and the consolidated financial statements for the first nine months of the fiscal year ended December 31, 2014, and the same full fiscal year reflects this retroactive application.</w:t>
      </w:r>
    </w:p>
    <w:p w14:paraId="5982CCB2" w14:textId="389C0BE1" w:rsidR="00982915" w:rsidRDefault="00EB6F73">
      <w:pPr>
        <w:tabs>
          <w:tab w:val="left" w:pos="426"/>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Compared with the figures before retroactive application, as of December 31, 2014, other noncurrent liabilities increased ¥</w:t>
      </w:r>
      <w:r w:rsidR="000741BD">
        <w:rPr>
          <w:rFonts w:ascii="Arial" w:hAnsi="Arial" w:cs="Arial"/>
          <w:color w:val="000000" w:themeColor="text1"/>
          <w:sz w:val="20"/>
          <w:szCs w:val="20"/>
        </w:rPr>
        <w:t>123</w:t>
      </w:r>
      <w:r>
        <w:rPr>
          <w:rFonts w:ascii="Arial" w:hAnsi="Arial" w:cs="Arial"/>
          <w:color w:val="000000" w:themeColor="text1"/>
          <w:sz w:val="20"/>
          <w:szCs w:val="20"/>
        </w:rPr>
        <w:t xml:space="preserve"> million, while capital surplus, retained earnings and treasury stock decreased by ¥</w:t>
      </w:r>
      <w:r w:rsidR="000741BD">
        <w:rPr>
          <w:rFonts w:ascii="Arial" w:hAnsi="Arial" w:cs="Arial"/>
          <w:color w:val="000000" w:themeColor="text1"/>
          <w:sz w:val="20"/>
          <w:szCs w:val="20"/>
        </w:rPr>
        <w:t>12</w:t>
      </w:r>
      <w:r>
        <w:rPr>
          <w:rFonts w:ascii="Arial" w:hAnsi="Arial" w:cs="Arial"/>
          <w:color w:val="000000" w:themeColor="text1"/>
          <w:sz w:val="20"/>
          <w:szCs w:val="20"/>
        </w:rPr>
        <w:t xml:space="preserve"> million, ¥</w:t>
      </w:r>
      <w:r w:rsidR="000741BD">
        <w:rPr>
          <w:rFonts w:ascii="Arial" w:hAnsi="Arial" w:cs="Arial"/>
          <w:color w:val="000000" w:themeColor="text1"/>
          <w:sz w:val="20"/>
          <w:szCs w:val="20"/>
        </w:rPr>
        <w:t>12</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million</w:t>
      </w:r>
      <w:proofErr w:type="gramEnd"/>
      <w:r>
        <w:rPr>
          <w:rFonts w:ascii="Arial" w:hAnsi="Arial" w:cs="Arial"/>
          <w:color w:val="000000" w:themeColor="text1"/>
          <w:sz w:val="20"/>
          <w:szCs w:val="20"/>
        </w:rPr>
        <w:t xml:space="preserve"> and ¥</w:t>
      </w:r>
      <w:r w:rsidR="000741BD">
        <w:rPr>
          <w:rFonts w:ascii="Arial" w:hAnsi="Arial" w:cs="Arial"/>
          <w:color w:val="000000" w:themeColor="text1"/>
          <w:sz w:val="20"/>
          <w:szCs w:val="20"/>
        </w:rPr>
        <w:t>12</w:t>
      </w:r>
      <w:r>
        <w:rPr>
          <w:rFonts w:ascii="Arial" w:hAnsi="Arial" w:cs="Arial"/>
          <w:color w:val="000000" w:themeColor="text1"/>
          <w:sz w:val="20"/>
          <w:szCs w:val="20"/>
        </w:rPr>
        <w:t xml:space="preserve"> million, respectively. The impact of this retroactive application on profits and losses for the nine months ended September 30, 2014, was </w:t>
      </w:r>
      <w:r w:rsidR="000741BD">
        <w:rPr>
          <w:rFonts w:ascii="Arial" w:hAnsi="Arial" w:cs="Arial"/>
          <w:color w:val="000000" w:themeColor="text1"/>
          <w:sz w:val="20"/>
          <w:szCs w:val="20"/>
        </w:rPr>
        <w:t>insubstantial</w:t>
      </w:r>
      <w:r>
        <w:rPr>
          <w:rFonts w:ascii="Arial" w:hAnsi="Arial" w:cs="Arial"/>
          <w:color w:val="000000" w:themeColor="text1"/>
          <w:sz w:val="20"/>
          <w:szCs w:val="20"/>
        </w:rPr>
        <w:t>.</w:t>
      </w:r>
    </w:p>
    <w:p w14:paraId="09F3BB75" w14:textId="77777777" w:rsidR="00982915" w:rsidRDefault="00982915">
      <w:pPr>
        <w:tabs>
          <w:tab w:val="left" w:pos="426"/>
        </w:tabs>
        <w:spacing w:after="0" w:line="360" w:lineRule="auto"/>
        <w:jc w:val="both"/>
        <w:rPr>
          <w:rFonts w:ascii="Arial" w:hAnsi="Arial" w:cs="Arial"/>
          <w:color w:val="984806" w:themeColor="accent6" w:themeShade="80"/>
          <w:szCs w:val="22"/>
        </w:rPr>
      </w:pPr>
    </w:p>
    <w:p w14:paraId="666B3578" w14:textId="77777777" w:rsidR="00982915" w:rsidRDefault="00EB6F73">
      <w:pPr>
        <w:rPr>
          <w:rFonts w:ascii="Arial" w:hAnsi="Arial" w:cs="Arial"/>
          <w:b/>
          <w:bCs/>
          <w:szCs w:val="22"/>
        </w:rPr>
      </w:pPr>
      <w:r>
        <w:rPr>
          <w:rFonts w:ascii="Arial" w:hAnsi="Arial" w:cs="Arial"/>
          <w:b/>
          <w:bCs/>
          <w:szCs w:val="22"/>
        </w:rPr>
        <w:br w:type="page"/>
      </w:r>
    </w:p>
    <w:p w14:paraId="39EF1EC0" w14:textId="77777777" w:rsidR="00982915" w:rsidRDefault="00EB6F73">
      <w:pPr>
        <w:tabs>
          <w:tab w:val="left" w:pos="426"/>
        </w:tabs>
        <w:spacing w:after="0" w:line="360" w:lineRule="auto"/>
        <w:jc w:val="both"/>
        <w:rPr>
          <w:rFonts w:ascii="Arial" w:hAnsi="Arial" w:cs="Arial"/>
          <w:b/>
          <w:bCs/>
          <w:sz w:val="32"/>
          <w:szCs w:val="22"/>
        </w:rPr>
      </w:pPr>
      <w:r>
        <w:rPr>
          <w:rFonts w:ascii="Arial" w:hAnsi="Arial" w:cs="Arial"/>
          <w:b/>
          <w:bCs/>
          <w:sz w:val="32"/>
          <w:szCs w:val="22"/>
        </w:rPr>
        <w:lastRenderedPageBreak/>
        <w:t>III. Consolidated Financial Statement</w:t>
      </w:r>
    </w:p>
    <w:p w14:paraId="257B83A5" w14:textId="77777777" w:rsidR="00982915" w:rsidRDefault="00EB6F73">
      <w:pPr>
        <w:tabs>
          <w:tab w:val="left" w:pos="426"/>
        </w:tabs>
        <w:spacing w:after="0" w:line="360" w:lineRule="auto"/>
        <w:jc w:val="both"/>
        <w:rPr>
          <w:rFonts w:ascii="Arial" w:hAnsi="Arial" w:cs="Arial"/>
          <w:b/>
          <w:bCs/>
          <w:sz w:val="21"/>
          <w:szCs w:val="22"/>
        </w:rPr>
      </w:pPr>
      <w:r>
        <w:rPr>
          <w:rFonts w:ascii="Arial" w:hAnsi="Arial" w:cs="Arial"/>
          <w:b/>
          <w:bCs/>
          <w:sz w:val="21"/>
          <w:szCs w:val="22"/>
        </w:rPr>
        <w:t>1. Consolidated Balance Sheets</w:t>
      </w:r>
    </w:p>
    <w:tbl>
      <w:tblPr>
        <w:tblW w:w="10393" w:type="dxa"/>
        <w:tblInd w:w="101" w:type="dxa"/>
        <w:tblLook w:val="04A0" w:firstRow="1" w:lastRow="0" w:firstColumn="1" w:lastColumn="0" w:noHBand="0" w:noVBand="1"/>
      </w:tblPr>
      <w:tblGrid>
        <w:gridCol w:w="292"/>
        <w:gridCol w:w="1034"/>
        <w:gridCol w:w="320"/>
        <w:gridCol w:w="216"/>
        <w:gridCol w:w="3930"/>
        <w:gridCol w:w="2293"/>
        <w:gridCol w:w="2308"/>
      </w:tblGrid>
      <w:tr w:rsidR="00982915" w14:paraId="66F64061" w14:textId="77777777">
        <w:trPr>
          <w:trHeight w:val="263"/>
        </w:trPr>
        <w:tc>
          <w:tcPr>
            <w:tcW w:w="5792" w:type="dxa"/>
            <w:gridSpan w:val="5"/>
            <w:tcBorders>
              <w:top w:val="nil"/>
              <w:left w:val="nil"/>
              <w:bottom w:val="single" w:sz="12" w:space="0" w:color="auto"/>
              <w:right w:val="nil"/>
            </w:tcBorders>
            <w:shd w:val="clear" w:color="auto" w:fill="auto"/>
            <w:noWrap/>
            <w:vAlign w:val="bottom"/>
            <w:hideMark/>
          </w:tcPr>
          <w:p w14:paraId="0E7606E5" w14:textId="77777777" w:rsidR="00982915" w:rsidRDefault="00982915">
            <w:pPr>
              <w:spacing w:after="0" w:line="0" w:lineRule="atLeast"/>
              <w:rPr>
                <w:rFonts w:ascii="Arial" w:eastAsia="Times New Roman" w:hAnsi="Arial" w:cs="Arial"/>
                <w:color w:val="000000"/>
                <w:sz w:val="18"/>
                <w:szCs w:val="18"/>
                <w:lang w:eastAsia="zh-CN"/>
              </w:rPr>
            </w:pPr>
          </w:p>
        </w:tc>
        <w:tc>
          <w:tcPr>
            <w:tcW w:w="2293" w:type="dxa"/>
            <w:tcBorders>
              <w:top w:val="nil"/>
              <w:left w:val="nil"/>
              <w:bottom w:val="single" w:sz="12" w:space="0" w:color="auto"/>
              <w:right w:val="nil"/>
            </w:tcBorders>
            <w:shd w:val="clear" w:color="auto" w:fill="auto"/>
            <w:noWrap/>
            <w:vAlign w:val="bottom"/>
            <w:hideMark/>
          </w:tcPr>
          <w:p w14:paraId="60F32A46"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308" w:type="dxa"/>
            <w:tcBorders>
              <w:top w:val="nil"/>
              <w:left w:val="nil"/>
              <w:bottom w:val="single" w:sz="12" w:space="0" w:color="auto"/>
              <w:right w:val="nil"/>
            </w:tcBorders>
            <w:shd w:val="clear" w:color="auto" w:fill="auto"/>
            <w:noWrap/>
            <w:vAlign w:val="bottom"/>
            <w:hideMark/>
          </w:tcPr>
          <w:p w14:paraId="6BA9AA46" w14:textId="77777777" w:rsidR="00982915" w:rsidRDefault="00EB6F73">
            <w:pPr>
              <w:spacing w:after="0" w:line="0" w:lineRule="atLeast"/>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(Millions of yen)</w:t>
            </w:r>
          </w:p>
        </w:tc>
      </w:tr>
      <w:tr w:rsidR="00982915" w14:paraId="79C9F505" w14:textId="77777777">
        <w:trPr>
          <w:trHeight w:val="71"/>
        </w:trPr>
        <w:tc>
          <w:tcPr>
            <w:tcW w:w="1862" w:type="dxa"/>
            <w:gridSpan w:val="4"/>
            <w:tcBorders>
              <w:top w:val="single" w:sz="12" w:space="0" w:color="auto"/>
              <w:left w:val="nil"/>
              <w:bottom w:val="nil"/>
              <w:right w:val="nil"/>
            </w:tcBorders>
            <w:shd w:val="clear" w:color="auto" w:fill="auto"/>
            <w:noWrap/>
            <w:vAlign w:val="bottom"/>
            <w:hideMark/>
          </w:tcPr>
          <w:p w14:paraId="1010BA4F" w14:textId="77777777" w:rsidR="00982915" w:rsidRDefault="00982915">
            <w:pPr>
              <w:spacing w:after="0" w:line="0" w:lineRule="atLeast"/>
              <w:rPr>
                <w:rFonts w:ascii="Arial" w:eastAsia="Times New Roman" w:hAnsi="Arial" w:cs="Arial"/>
                <w:color w:val="000000"/>
                <w:sz w:val="18"/>
                <w:szCs w:val="18"/>
                <w:lang w:eastAsia="zh-CN"/>
              </w:rPr>
            </w:pPr>
          </w:p>
        </w:tc>
        <w:tc>
          <w:tcPr>
            <w:tcW w:w="3930" w:type="dxa"/>
            <w:tcBorders>
              <w:top w:val="single" w:sz="12" w:space="0" w:color="auto"/>
              <w:left w:val="nil"/>
              <w:bottom w:val="nil"/>
              <w:right w:val="nil"/>
            </w:tcBorders>
            <w:shd w:val="clear" w:color="auto" w:fill="auto"/>
            <w:noWrap/>
            <w:vAlign w:val="bottom"/>
            <w:hideMark/>
          </w:tcPr>
          <w:p w14:paraId="6CC81FD8" w14:textId="77777777" w:rsidR="00982915" w:rsidRDefault="00982915">
            <w:pPr>
              <w:spacing w:after="0" w:line="0" w:lineRule="atLeast"/>
              <w:rPr>
                <w:rFonts w:ascii="Arial" w:eastAsia="Times New Roman" w:hAnsi="Arial" w:cs="Arial"/>
                <w:color w:val="000000"/>
                <w:sz w:val="18"/>
                <w:szCs w:val="18"/>
                <w:lang w:eastAsia="zh-CN"/>
              </w:rPr>
            </w:pPr>
          </w:p>
        </w:tc>
        <w:tc>
          <w:tcPr>
            <w:tcW w:w="2293" w:type="dxa"/>
            <w:vMerge w:val="restart"/>
            <w:tcBorders>
              <w:top w:val="single" w:sz="12" w:space="0" w:color="auto"/>
              <w:left w:val="nil"/>
              <w:right w:val="nil"/>
            </w:tcBorders>
            <w:shd w:val="clear" w:color="auto" w:fill="auto"/>
            <w:noWrap/>
            <w:vAlign w:val="center"/>
            <w:hideMark/>
          </w:tcPr>
          <w:p w14:paraId="547A95AE"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FY2014</w:t>
            </w:r>
          </w:p>
          <w:p w14:paraId="7DCD29EB"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(As of Dec. 31, 2014)</w:t>
            </w:r>
          </w:p>
        </w:tc>
        <w:tc>
          <w:tcPr>
            <w:tcW w:w="2308" w:type="dxa"/>
            <w:vMerge w:val="restart"/>
            <w:tcBorders>
              <w:top w:val="single" w:sz="12" w:space="0" w:color="auto"/>
              <w:left w:val="nil"/>
              <w:right w:val="nil"/>
            </w:tcBorders>
            <w:shd w:val="clear" w:color="auto" w:fill="auto"/>
            <w:noWrap/>
            <w:vAlign w:val="center"/>
            <w:hideMark/>
          </w:tcPr>
          <w:p w14:paraId="42CE2A49"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3Q FY2015</w:t>
            </w:r>
          </w:p>
          <w:p w14:paraId="7A390D8E"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(As of Sept. 30, 2015)</w:t>
            </w:r>
          </w:p>
        </w:tc>
      </w:tr>
      <w:tr w:rsidR="00982915" w14:paraId="270B2F21" w14:textId="77777777">
        <w:trPr>
          <w:trHeight w:val="413"/>
        </w:trPr>
        <w:tc>
          <w:tcPr>
            <w:tcW w:w="5792" w:type="dxa"/>
            <w:gridSpan w:val="5"/>
            <w:tcBorders>
              <w:top w:val="nil"/>
              <w:left w:val="nil"/>
              <w:bottom w:val="single" w:sz="4" w:space="0" w:color="auto"/>
              <w:right w:val="nil"/>
            </w:tcBorders>
            <w:shd w:val="clear" w:color="auto" w:fill="auto"/>
            <w:noWrap/>
            <w:vAlign w:val="bottom"/>
            <w:hideMark/>
          </w:tcPr>
          <w:p w14:paraId="53C9CB8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293" w:type="dxa"/>
            <w:vMerge/>
            <w:tcBorders>
              <w:left w:val="nil"/>
              <w:bottom w:val="single" w:sz="4" w:space="0" w:color="auto"/>
              <w:right w:val="nil"/>
            </w:tcBorders>
            <w:shd w:val="clear" w:color="auto" w:fill="auto"/>
            <w:noWrap/>
            <w:vAlign w:val="bottom"/>
            <w:hideMark/>
          </w:tcPr>
          <w:p w14:paraId="7F911C74" w14:textId="77777777" w:rsidR="00982915" w:rsidRDefault="00982915">
            <w:pPr>
              <w:spacing w:after="0" w:line="0" w:lineRule="atLeast"/>
              <w:jc w:val="center"/>
              <w:rPr>
                <w:rFonts w:ascii="Arial" w:eastAsia="Times New Roman" w:hAnsi="Arial" w:cs="Arial"/>
                <w:color w:val="000000"/>
                <w:sz w:val="18"/>
                <w:szCs w:val="18"/>
                <w:lang w:eastAsia="zh-CN"/>
              </w:rPr>
            </w:pPr>
          </w:p>
        </w:tc>
        <w:tc>
          <w:tcPr>
            <w:tcW w:w="2308" w:type="dxa"/>
            <w:vMerge/>
            <w:tcBorders>
              <w:left w:val="nil"/>
              <w:bottom w:val="single" w:sz="4" w:space="0" w:color="auto"/>
              <w:right w:val="nil"/>
            </w:tcBorders>
            <w:shd w:val="clear" w:color="auto" w:fill="auto"/>
            <w:noWrap/>
            <w:vAlign w:val="bottom"/>
            <w:hideMark/>
          </w:tcPr>
          <w:p w14:paraId="7CFD935C" w14:textId="77777777" w:rsidR="00982915" w:rsidRDefault="00982915">
            <w:pPr>
              <w:spacing w:after="0" w:line="0" w:lineRule="atLeast"/>
              <w:jc w:val="center"/>
              <w:rPr>
                <w:rFonts w:ascii="Arial" w:eastAsia="Times New Roman" w:hAnsi="Arial" w:cs="Arial"/>
                <w:color w:val="000000"/>
                <w:sz w:val="18"/>
                <w:szCs w:val="18"/>
                <w:lang w:eastAsia="zh-CN"/>
              </w:rPr>
            </w:pPr>
          </w:p>
        </w:tc>
      </w:tr>
      <w:tr w:rsidR="00982915" w14:paraId="63C89DE3" w14:textId="77777777">
        <w:trPr>
          <w:trHeight w:val="306"/>
        </w:trPr>
        <w:tc>
          <w:tcPr>
            <w:tcW w:w="5792" w:type="dxa"/>
            <w:gridSpan w:val="5"/>
            <w:tcBorders>
              <w:top w:val="nil"/>
              <w:left w:val="nil"/>
              <w:bottom w:val="nil"/>
              <w:right w:val="nil"/>
            </w:tcBorders>
            <w:shd w:val="clear" w:color="000000" w:fill="CCFFFF"/>
            <w:noWrap/>
            <w:vAlign w:val="bottom"/>
            <w:hideMark/>
          </w:tcPr>
          <w:p w14:paraId="731BBE75" w14:textId="77777777" w:rsidR="00982915" w:rsidRDefault="00EB6F73">
            <w:pPr>
              <w:spacing w:after="0" w:line="0" w:lineRule="atLeast"/>
              <w:rPr>
                <w:rFonts w:ascii="Arial" w:eastAsia="Times New Roman" w:hAnsi="Arial" w:cs="Arial"/>
                <w:b/>
                <w:color w:val="000000"/>
                <w:sz w:val="18"/>
                <w:szCs w:val="18"/>
                <w:lang w:eastAsia="zh-CN"/>
              </w:rPr>
            </w:pPr>
            <w:r>
              <w:rPr>
                <w:rFonts w:ascii="Arial" w:eastAsia="Times New Roman" w:hAnsi="Arial" w:cs="Arial"/>
                <w:b/>
                <w:color w:val="000000"/>
                <w:sz w:val="18"/>
                <w:szCs w:val="18"/>
                <w:lang w:eastAsia="zh-CN"/>
              </w:rPr>
              <w:t>ASSETS</w:t>
            </w:r>
          </w:p>
        </w:tc>
        <w:tc>
          <w:tcPr>
            <w:tcW w:w="2293" w:type="dxa"/>
            <w:tcBorders>
              <w:top w:val="nil"/>
              <w:left w:val="nil"/>
              <w:bottom w:val="nil"/>
              <w:right w:val="nil"/>
            </w:tcBorders>
            <w:shd w:val="clear" w:color="000000" w:fill="CCFFFF"/>
            <w:noWrap/>
            <w:vAlign w:val="bottom"/>
            <w:hideMark/>
          </w:tcPr>
          <w:p w14:paraId="0A66748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308" w:type="dxa"/>
            <w:tcBorders>
              <w:top w:val="nil"/>
              <w:left w:val="nil"/>
              <w:bottom w:val="nil"/>
              <w:right w:val="nil"/>
            </w:tcBorders>
            <w:shd w:val="clear" w:color="000000" w:fill="CCFFFF"/>
            <w:noWrap/>
            <w:vAlign w:val="bottom"/>
            <w:hideMark/>
          </w:tcPr>
          <w:p w14:paraId="179254B7"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982915" w14:paraId="53AE7F66" w14:textId="77777777">
        <w:trPr>
          <w:trHeight w:val="306"/>
        </w:trPr>
        <w:tc>
          <w:tcPr>
            <w:tcW w:w="292" w:type="dxa"/>
            <w:tcBorders>
              <w:top w:val="nil"/>
              <w:left w:val="nil"/>
              <w:bottom w:val="nil"/>
              <w:right w:val="nil"/>
            </w:tcBorders>
            <w:shd w:val="clear" w:color="auto" w:fill="auto"/>
            <w:noWrap/>
            <w:vAlign w:val="bottom"/>
            <w:hideMark/>
          </w:tcPr>
          <w:p w14:paraId="225DEA27" w14:textId="77777777" w:rsidR="00982915" w:rsidRDefault="00982915">
            <w:pPr>
              <w:spacing w:after="0" w:line="0" w:lineRule="atLeast"/>
              <w:rPr>
                <w:rFonts w:ascii="Arial" w:eastAsia="Times New Roman" w:hAnsi="Arial" w:cs="Arial"/>
                <w:color w:val="000000"/>
                <w:sz w:val="18"/>
                <w:szCs w:val="18"/>
                <w:lang w:eastAsia="zh-CN"/>
              </w:rPr>
            </w:pPr>
          </w:p>
        </w:tc>
        <w:tc>
          <w:tcPr>
            <w:tcW w:w="5500" w:type="dxa"/>
            <w:gridSpan w:val="4"/>
            <w:tcBorders>
              <w:top w:val="nil"/>
              <w:left w:val="nil"/>
              <w:bottom w:val="nil"/>
              <w:right w:val="nil"/>
            </w:tcBorders>
            <w:shd w:val="clear" w:color="auto" w:fill="auto"/>
            <w:noWrap/>
            <w:vAlign w:val="bottom"/>
            <w:hideMark/>
          </w:tcPr>
          <w:p w14:paraId="07ECA81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Current assets</w:t>
            </w:r>
          </w:p>
        </w:tc>
        <w:tc>
          <w:tcPr>
            <w:tcW w:w="2293" w:type="dxa"/>
            <w:tcBorders>
              <w:top w:val="nil"/>
              <w:left w:val="nil"/>
              <w:bottom w:val="nil"/>
              <w:right w:val="nil"/>
            </w:tcBorders>
            <w:shd w:val="clear" w:color="auto" w:fill="auto"/>
            <w:noWrap/>
            <w:vAlign w:val="bottom"/>
            <w:hideMark/>
          </w:tcPr>
          <w:p w14:paraId="1CF976F7" w14:textId="77777777" w:rsidR="00982915" w:rsidRDefault="00982915">
            <w:pPr>
              <w:spacing w:after="0" w:line="0" w:lineRule="atLeas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hideMark/>
          </w:tcPr>
          <w:p w14:paraId="295597D5" w14:textId="77777777" w:rsidR="00982915" w:rsidRDefault="00982915">
            <w:pPr>
              <w:spacing w:after="0" w:line="0" w:lineRule="atLeast"/>
              <w:rPr>
                <w:rFonts w:ascii="Arial" w:eastAsia="Times New Roman" w:hAnsi="Arial" w:cs="Arial"/>
                <w:color w:val="000000"/>
                <w:sz w:val="18"/>
                <w:szCs w:val="18"/>
                <w:lang w:eastAsia="zh-CN"/>
              </w:rPr>
            </w:pPr>
          </w:p>
        </w:tc>
      </w:tr>
      <w:tr w:rsidR="00982915" w14:paraId="5E351DB6" w14:textId="77777777" w:rsidTr="000741BD">
        <w:trPr>
          <w:trHeight w:val="306"/>
        </w:trPr>
        <w:tc>
          <w:tcPr>
            <w:tcW w:w="292" w:type="dxa"/>
            <w:tcBorders>
              <w:top w:val="nil"/>
              <w:left w:val="nil"/>
              <w:bottom w:val="nil"/>
              <w:right w:val="nil"/>
            </w:tcBorders>
            <w:shd w:val="clear" w:color="000000" w:fill="CCFFFF"/>
            <w:noWrap/>
            <w:vAlign w:val="bottom"/>
            <w:hideMark/>
          </w:tcPr>
          <w:p w14:paraId="685A4EA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6B8884BB"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6F58E3E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Cash and deposits </w:t>
            </w:r>
          </w:p>
        </w:tc>
        <w:tc>
          <w:tcPr>
            <w:tcW w:w="2293" w:type="dxa"/>
            <w:tcBorders>
              <w:top w:val="nil"/>
              <w:left w:val="nil"/>
              <w:bottom w:val="nil"/>
              <w:right w:val="nil"/>
            </w:tcBorders>
            <w:shd w:val="clear" w:color="000000" w:fill="CCFFFF"/>
            <w:noWrap/>
            <w:vAlign w:val="bottom"/>
          </w:tcPr>
          <w:p w14:paraId="402B28F2" w14:textId="3D09D40A"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52CEAFA5" w14:textId="55807B5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67A53ED4" w14:textId="77777777" w:rsidTr="000741BD">
        <w:trPr>
          <w:trHeight w:val="306"/>
        </w:trPr>
        <w:tc>
          <w:tcPr>
            <w:tcW w:w="292" w:type="dxa"/>
            <w:tcBorders>
              <w:top w:val="nil"/>
              <w:left w:val="nil"/>
              <w:bottom w:val="nil"/>
              <w:right w:val="nil"/>
            </w:tcBorders>
            <w:shd w:val="clear" w:color="auto" w:fill="auto"/>
            <w:noWrap/>
            <w:vAlign w:val="bottom"/>
            <w:hideMark/>
          </w:tcPr>
          <w:p w14:paraId="36C1C7FA"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43219B23"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7B4954F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Notes and accounts </w:t>
            </w:r>
            <w:proofErr w:type="gramStart"/>
            <w:r>
              <w:rPr>
                <w:rFonts w:ascii="Arial" w:eastAsia="Times New Roman" w:hAnsi="Arial" w:cs="Arial"/>
                <w:color w:val="000000"/>
                <w:sz w:val="18"/>
                <w:szCs w:val="18"/>
                <w:lang w:eastAsia="zh-CN"/>
              </w:rPr>
              <w:t>receivable-trade</w:t>
            </w:r>
            <w:proofErr w:type="gramEnd"/>
            <w:r>
              <w:rPr>
                <w:rFonts w:ascii="Arial" w:eastAsia="Times New Roman" w:hAnsi="Arial" w:cs="Arial"/>
                <w:color w:val="000000"/>
                <w:sz w:val="18"/>
                <w:szCs w:val="18"/>
                <w:lang w:eastAsia="zh-CN"/>
              </w:rPr>
              <w:t xml:space="preserve"> </w:t>
            </w:r>
          </w:p>
        </w:tc>
        <w:tc>
          <w:tcPr>
            <w:tcW w:w="2293" w:type="dxa"/>
            <w:tcBorders>
              <w:top w:val="nil"/>
              <w:left w:val="nil"/>
              <w:bottom w:val="nil"/>
              <w:right w:val="nil"/>
            </w:tcBorders>
            <w:shd w:val="clear" w:color="auto" w:fill="auto"/>
            <w:noWrap/>
            <w:vAlign w:val="bottom"/>
          </w:tcPr>
          <w:p w14:paraId="474DA455" w14:textId="6743051B"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tcPr>
          <w:p w14:paraId="08A61CA3" w14:textId="3D184605"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B3D7909" w14:textId="77777777" w:rsidTr="000741BD">
        <w:trPr>
          <w:trHeight w:val="306"/>
        </w:trPr>
        <w:tc>
          <w:tcPr>
            <w:tcW w:w="292" w:type="dxa"/>
            <w:tcBorders>
              <w:top w:val="nil"/>
              <w:left w:val="nil"/>
              <w:bottom w:val="nil"/>
              <w:right w:val="nil"/>
            </w:tcBorders>
            <w:shd w:val="clear" w:color="000000" w:fill="CCFFFF"/>
            <w:noWrap/>
            <w:vAlign w:val="bottom"/>
            <w:hideMark/>
          </w:tcPr>
          <w:p w14:paraId="49682BE6"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3C68EB1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200F0D8C"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Inventories </w:t>
            </w:r>
          </w:p>
        </w:tc>
        <w:tc>
          <w:tcPr>
            <w:tcW w:w="2293" w:type="dxa"/>
            <w:tcBorders>
              <w:top w:val="nil"/>
              <w:left w:val="nil"/>
              <w:bottom w:val="nil"/>
              <w:right w:val="nil"/>
            </w:tcBorders>
            <w:shd w:val="clear" w:color="000000" w:fill="CCFFFF"/>
            <w:noWrap/>
            <w:vAlign w:val="bottom"/>
          </w:tcPr>
          <w:p w14:paraId="7C877EEF" w14:textId="3F1A877F"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751D972C" w14:textId="1127CE1A"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4CC530A" w14:textId="77777777" w:rsidTr="000741BD">
        <w:trPr>
          <w:trHeight w:val="306"/>
        </w:trPr>
        <w:tc>
          <w:tcPr>
            <w:tcW w:w="292" w:type="dxa"/>
            <w:tcBorders>
              <w:top w:val="nil"/>
              <w:left w:val="nil"/>
              <w:bottom w:val="nil"/>
              <w:right w:val="nil"/>
            </w:tcBorders>
            <w:shd w:val="clear" w:color="auto" w:fill="auto"/>
            <w:noWrap/>
            <w:vAlign w:val="bottom"/>
            <w:hideMark/>
          </w:tcPr>
          <w:p w14:paraId="50590019"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016590E8"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3074D53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Other </w:t>
            </w:r>
          </w:p>
        </w:tc>
        <w:tc>
          <w:tcPr>
            <w:tcW w:w="2293" w:type="dxa"/>
            <w:tcBorders>
              <w:top w:val="nil"/>
              <w:left w:val="nil"/>
              <w:bottom w:val="nil"/>
              <w:right w:val="nil"/>
            </w:tcBorders>
            <w:shd w:val="clear" w:color="auto" w:fill="auto"/>
            <w:noWrap/>
            <w:vAlign w:val="bottom"/>
          </w:tcPr>
          <w:p w14:paraId="0D2597E0" w14:textId="0DC58C50"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tcPr>
          <w:p w14:paraId="76401E03" w14:textId="77CCFAFC"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633A2520" w14:textId="77777777" w:rsidTr="000741BD">
        <w:trPr>
          <w:trHeight w:val="306"/>
        </w:trPr>
        <w:tc>
          <w:tcPr>
            <w:tcW w:w="292" w:type="dxa"/>
            <w:tcBorders>
              <w:top w:val="nil"/>
              <w:left w:val="nil"/>
              <w:bottom w:val="nil"/>
              <w:right w:val="nil"/>
            </w:tcBorders>
            <w:shd w:val="clear" w:color="000000" w:fill="CCFFFF"/>
            <w:noWrap/>
            <w:vAlign w:val="bottom"/>
            <w:hideMark/>
          </w:tcPr>
          <w:p w14:paraId="7D9A5EC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2631EDD4"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647D9E14"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Allowance for doubtful accounts</w:t>
            </w:r>
          </w:p>
        </w:tc>
        <w:tc>
          <w:tcPr>
            <w:tcW w:w="2293" w:type="dxa"/>
            <w:tcBorders>
              <w:top w:val="nil"/>
              <w:left w:val="nil"/>
              <w:bottom w:val="single" w:sz="4" w:space="0" w:color="auto"/>
              <w:right w:val="nil"/>
            </w:tcBorders>
            <w:shd w:val="clear" w:color="000000" w:fill="CCFFFF"/>
            <w:noWrap/>
            <w:vAlign w:val="bottom"/>
          </w:tcPr>
          <w:p w14:paraId="42264AB8" w14:textId="3920A246"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520D4C6F" w14:textId="6EA488CA"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4B12B48" w14:textId="77777777" w:rsidTr="000741BD">
        <w:trPr>
          <w:trHeight w:val="306"/>
        </w:trPr>
        <w:tc>
          <w:tcPr>
            <w:tcW w:w="292" w:type="dxa"/>
            <w:tcBorders>
              <w:top w:val="nil"/>
              <w:left w:val="nil"/>
              <w:bottom w:val="nil"/>
              <w:right w:val="nil"/>
            </w:tcBorders>
            <w:shd w:val="clear" w:color="auto" w:fill="auto"/>
            <w:noWrap/>
            <w:vAlign w:val="bottom"/>
            <w:hideMark/>
          </w:tcPr>
          <w:p w14:paraId="48AF1E8E"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013416F0"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4660B78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current assets </w:t>
            </w:r>
          </w:p>
        </w:tc>
        <w:tc>
          <w:tcPr>
            <w:tcW w:w="2293" w:type="dxa"/>
            <w:tcBorders>
              <w:top w:val="nil"/>
              <w:left w:val="nil"/>
              <w:bottom w:val="single" w:sz="4" w:space="0" w:color="auto"/>
              <w:right w:val="nil"/>
            </w:tcBorders>
            <w:shd w:val="clear" w:color="auto" w:fill="auto"/>
            <w:noWrap/>
            <w:vAlign w:val="bottom"/>
          </w:tcPr>
          <w:p w14:paraId="076C79D4" w14:textId="36062028"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678A6E2A" w14:textId="33FE18B1"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F7EDAF0" w14:textId="77777777" w:rsidTr="000741BD">
        <w:trPr>
          <w:trHeight w:val="306"/>
        </w:trPr>
        <w:tc>
          <w:tcPr>
            <w:tcW w:w="292" w:type="dxa"/>
            <w:tcBorders>
              <w:top w:val="nil"/>
              <w:left w:val="nil"/>
              <w:bottom w:val="nil"/>
              <w:right w:val="nil"/>
            </w:tcBorders>
            <w:shd w:val="clear" w:color="000000" w:fill="CCFFFF"/>
            <w:noWrap/>
            <w:vAlign w:val="bottom"/>
            <w:hideMark/>
          </w:tcPr>
          <w:p w14:paraId="5BD643D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500" w:type="dxa"/>
            <w:gridSpan w:val="4"/>
            <w:tcBorders>
              <w:top w:val="nil"/>
              <w:left w:val="nil"/>
              <w:bottom w:val="nil"/>
              <w:right w:val="nil"/>
            </w:tcBorders>
            <w:shd w:val="clear" w:color="000000" w:fill="CCFFFF"/>
            <w:noWrap/>
            <w:vAlign w:val="bottom"/>
            <w:hideMark/>
          </w:tcPr>
          <w:p w14:paraId="45F4A0E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Noncurrent assets</w:t>
            </w:r>
          </w:p>
        </w:tc>
        <w:tc>
          <w:tcPr>
            <w:tcW w:w="2293" w:type="dxa"/>
            <w:tcBorders>
              <w:top w:val="nil"/>
              <w:left w:val="nil"/>
              <w:bottom w:val="nil"/>
              <w:right w:val="nil"/>
            </w:tcBorders>
            <w:shd w:val="clear" w:color="000000" w:fill="CCFFFF"/>
            <w:noWrap/>
            <w:vAlign w:val="bottom"/>
          </w:tcPr>
          <w:p w14:paraId="54CCF6E3" w14:textId="0EBA5772" w:rsidR="00982915" w:rsidRDefault="00982915">
            <w:pPr>
              <w:spacing w:after="0" w:line="0" w:lineRule="atLeas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562834CF" w14:textId="240C80EA" w:rsidR="00982915" w:rsidRDefault="00982915">
            <w:pPr>
              <w:spacing w:after="0" w:line="0" w:lineRule="atLeast"/>
              <w:rPr>
                <w:rFonts w:ascii="Arial" w:eastAsia="Times New Roman" w:hAnsi="Arial" w:cs="Arial"/>
                <w:color w:val="000000"/>
                <w:sz w:val="18"/>
                <w:szCs w:val="18"/>
                <w:lang w:eastAsia="zh-CN"/>
              </w:rPr>
            </w:pPr>
          </w:p>
        </w:tc>
      </w:tr>
      <w:tr w:rsidR="00982915" w14:paraId="28B9A57F" w14:textId="77777777" w:rsidTr="000741BD">
        <w:trPr>
          <w:trHeight w:val="306"/>
        </w:trPr>
        <w:tc>
          <w:tcPr>
            <w:tcW w:w="292" w:type="dxa"/>
            <w:tcBorders>
              <w:top w:val="nil"/>
              <w:left w:val="nil"/>
              <w:bottom w:val="nil"/>
              <w:right w:val="nil"/>
            </w:tcBorders>
            <w:shd w:val="clear" w:color="auto" w:fill="auto"/>
            <w:noWrap/>
            <w:vAlign w:val="bottom"/>
            <w:hideMark/>
          </w:tcPr>
          <w:p w14:paraId="20A21F0D"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068E04DA"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115CCB7B" w14:textId="77777777" w:rsidR="00982915" w:rsidRDefault="00EB6F73">
            <w:pPr>
              <w:spacing w:after="0" w:line="0" w:lineRule="atLeast"/>
              <w:ind w:leftChars="-56" w:left="-123"/>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Property, </w:t>
            </w:r>
            <w:proofErr w:type="gramStart"/>
            <w:r>
              <w:rPr>
                <w:rFonts w:ascii="Arial" w:eastAsia="Times New Roman" w:hAnsi="Arial" w:cs="Arial"/>
                <w:color w:val="000000"/>
                <w:sz w:val="18"/>
                <w:szCs w:val="18"/>
                <w:lang w:eastAsia="zh-CN"/>
              </w:rPr>
              <w:t>plant</w:t>
            </w:r>
            <w:proofErr w:type="gramEnd"/>
            <w:r>
              <w:rPr>
                <w:rFonts w:ascii="Arial" w:eastAsia="Times New Roman" w:hAnsi="Arial" w:cs="Arial"/>
                <w:color w:val="000000"/>
                <w:sz w:val="18"/>
                <w:szCs w:val="18"/>
                <w:lang w:eastAsia="zh-CN"/>
              </w:rPr>
              <w:t xml:space="preserve"> and equipment</w:t>
            </w:r>
          </w:p>
        </w:tc>
        <w:tc>
          <w:tcPr>
            <w:tcW w:w="2293" w:type="dxa"/>
            <w:tcBorders>
              <w:top w:val="nil"/>
              <w:left w:val="nil"/>
              <w:bottom w:val="nil"/>
              <w:right w:val="nil"/>
            </w:tcBorders>
            <w:shd w:val="clear" w:color="auto" w:fill="auto"/>
            <w:noWrap/>
            <w:vAlign w:val="bottom"/>
          </w:tcPr>
          <w:p w14:paraId="2FF6EE93" w14:textId="77777777" w:rsidR="00982915" w:rsidRDefault="00982915">
            <w:pPr>
              <w:spacing w:after="0" w:line="0" w:lineRule="atLeas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tcPr>
          <w:p w14:paraId="2F2B3C6B" w14:textId="77777777" w:rsidR="00982915" w:rsidRDefault="00982915">
            <w:pPr>
              <w:spacing w:after="0" w:line="0" w:lineRule="atLeast"/>
              <w:rPr>
                <w:rFonts w:ascii="Arial" w:eastAsia="Times New Roman" w:hAnsi="Arial" w:cs="Arial"/>
                <w:color w:val="000000"/>
                <w:sz w:val="18"/>
                <w:szCs w:val="18"/>
                <w:lang w:eastAsia="zh-CN"/>
              </w:rPr>
            </w:pPr>
          </w:p>
        </w:tc>
      </w:tr>
      <w:tr w:rsidR="00982915" w14:paraId="3417456D" w14:textId="77777777" w:rsidTr="000741BD">
        <w:trPr>
          <w:trHeight w:val="306"/>
        </w:trPr>
        <w:tc>
          <w:tcPr>
            <w:tcW w:w="292" w:type="dxa"/>
            <w:tcBorders>
              <w:top w:val="nil"/>
              <w:left w:val="nil"/>
              <w:bottom w:val="nil"/>
              <w:right w:val="nil"/>
            </w:tcBorders>
            <w:shd w:val="clear" w:color="000000" w:fill="CCFFFF"/>
            <w:noWrap/>
            <w:vAlign w:val="bottom"/>
            <w:hideMark/>
          </w:tcPr>
          <w:p w14:paraId="750EBDB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5190373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24A34C5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Buildings and structures</w:t>
            </w:r>
          </w:p>
        </w:tc>
        <w:tc>
          <w:tcPr>
            <w:tcW w:w="2293" w:type="dxa"/>
            <w:tcBorders>
              <w:top w:val="nil"/>
              <w:left w:val="nil"/>
              <w:bottom w:val="nil"/>
              <w:right w:val="nil"/>
            </w:tcBorders>
            <w:shd w:val="clear" w:color="000000" w:fill="CCFFFF"/>
            <w:noWrap/>
            <w:vAlign w:val="bottom"/>
          </w:tcPr>
          <w:p w14:paraId="27B570A4" w14:textId="6ABE8492"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76AF09C8" w14:textId="1DB95A00"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2D6F42BD" w14:textId="77777777" w:rsidTr="000741BD">
        <w:trPr>
          <w:trHeight w:val="306"/>
        </w:trPr>
        <w:tc>
          <w:tcPr>
            <w:tcW w:w="292" w:type="dxa"/>
            <w:tcBorders>
              <w:top w:val="nil"/>
              <w:left w:val="nil"/>
              <w:bottom w:val="nil"/>
              <w:right w:val="nil"/>
            </w:tcBorders>
            <w:shd w:val="clear" w:color="auto" w:fill="auto"/>
            <w:noWrap/>
            <w:vAlign w:val="bottom"/>
            <w:hideMark/>
          </w:tcPr>
          <w:p w14:paraId="7BCF4587"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59AB5190"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1C64F587"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Accumulated depreciation and impairment loss </w:t>
            </w:r>
          </w:p>
        </w:tc>
        <w:tc>
          <w:tcPr>
            <w:tcW w:w="2293" w:type="dxa"/>
            <w:tcBorders>
              <w:top w:val="nil"/>
              <w:left w:val="nil"/>
              <w:bottom w:val="single" w:sz="4" w:space="0" w:color="auto"/>
              <w:right w:val="nil"/>
            </w:tcBorders>
            <w:shd w:val="clear" w:color="auto" w:fill="auto"/>
            <w:noWrap/>
            <w:vAlign w:val="bottom"/>
          </w:tcPr>
          <w:p w14:paraId="682C0B51" w14:textId="1268F44B"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7CBB0301" w14:textId="29F0B553"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24C994FF" w14:textId="77777777" w:rsidTr="000741BD">
        <w:trPr>
          <w:trHeight w:val="306"/>
        </w:trPr>
        <w:tc>
          <w:tcPr>
            <w:tcW w:w="292" w:type="dxa"/>
            <w:tcBorders>
              <w:top w:val="nil"/>
              <w:left w:val="nil"/>
              <w:bottom w:val="nil"/>
              <w:right w:val="nil"/>
            </w:tcBorders>
            <w:shd w:val="clear" w:color="000000" w:fill="CCFFFF"/>
            <w:noWrap/>
            <w:vAlign w:val="bottom"/>
            <w:hideMark/>
          </w:tcPr>
          <w:p w14:paraId="20600C6D"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1FC97B2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20" w:type="dxa"/>
            <w:tcBorders>
              <w:top w:val="nil"/>
              <w:left w:val="nil"/>
              <w:bottom w:val="nil"/>
              <w:right w:val="nil"/>
            </w:tcBorders>
            <w:shd w:val="clear" w:color="000000" w:fill="CCFFFF"/>
            <w:noWrap/>
            <w:vAlign w:val="bottom"/>
            <w:hideMark/>
          </w:tcPr>
          <w:p w14:paraId="0F87556D"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146" w:type="dxa"/>
            <w:gridSpan w:val="2"/>
            <w:tcBorders>
              <w:top w:val="nil"/>
              <w:left w:val="nil"/>
              <w:bottom w:val="nil"/>
              <w:right w:val="nil"/>
            </w:tcBorders>
            <w:shd w:val="clear" w:color="000000" w:fill="CCFFFF"/>
            <w:noWrap/>
            <w:vAlign w:val="bottom"/>
            <w:hideMark/>
          </w:tcPr>
          <w:p w14:paraId="55E4F589" w14:textId="77777777" w:rsidR="00982915" w:rsidRDefault="00EB6F73">
            <w:pPr>
              <w:spacing w:after="0" w:line="0" w:lineRule="atLeast"/>
              <w:ind w:leftChars="-10" w:left="-22"/>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Buildings and structures, net</w:t>
            </w:r>
          </w:p>
        </w:tc>
        <w:tc>
          <w:tcPr>
            <w:tcW w:w="2293" w:type="dxa"/>
            <w:tcBorders>
              <w:top w:val="nil"/>
              <w:left w:val="nil"/>
              <w:bottom w:val="single" w:sz="4" w:space="0" w:color="auto"/>
              <w:right w:val="nil"/>
            </w:tcBorders>
            <w:shd w:val="clear" w:color="000000" w:fill="CCFFFF"/>
            <w:noWrap/>
            <w:vAlign w:val="bottom"/>
          </w:tcPr>
          <w:p w14:paraId="4BAC78C9" w14:textId="7B965F6E"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32A2A610" w14:textId="5F708B21"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04E1CB1" w14:textId="77777777" w:rsidTr="000741BD">
        <w:trPr>
          <w:trHeight w:val="306"/>
        </w:trPr>
        <w:tc>
          <w:tcPr>
            <w:tcW w:w="292" w:type="dxa"/>
            <w:tcBorders>
              <w:top w:val="nil"/>
              <w:left w:val="nil"/>
              <w:bottom w:val="nil"/>
              <w:right w:val="nil"/>
            </w:tcBorders>
            <w:shd w:val="clear" w:color="auto" w:fill="auto"/>
            <w:noWrap/>
            <w:vAlign w:val="bottom"/>
            <w:hideMark/>
          </w:tcPr>
          <w:p w14:paraId="6465C4AA"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2F369948"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5CA32BBB" w14:textId="77777777" w:rsidR="00982915" w:rsidRDefault="00EB6F73">
            <w:pPr>
              <w:spacing w:after="0" w:line="0" w:lineRule="atLeast"/>
              <w:ind w:leftChars="-56" w:left="-123"/>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Machinery, </w:t>
            </w:r>
            <w:proofErr w:type="gramStart"/>
            <w:r>
              <w:rPr>
                <w:rFonts w:ascii="Arial" w:eastAsia="Times New Roman" w:hAnsi="Arial" w:cs="Arial"/>
                <w:color w:val="000000"/>
                <w:sz w:val="18"/>
                <w:szCs w:val="18"/>
                <w:lang w:eastAsia="zh-CN"/>
              </w:rPr>
              <w:t>equipment</w:t>
            </w:r>
            <w:proofErr w:type="gramEnd"/>
            <w:r>
              <w:rPr>
                <w:rFonts w:ascii="Arial" w:eastAsia="Times New Roman" w:hAnsi="Arial" w:cs="Arial"/>
                <w:color w:val="000000"/>
                <w:sz w:val="18"/>
                <w:szCs w:val="18"/>
                <w:lang w:eastAsia="zh-CN"/>
              </w:rPr>
              <w:t xml:space="preserve"> and vehicles </w:t>
            </w:r>
          </w:p>
        </w:tc>
        <w:tc>
          <w:tcPr>
            <w:tcW w:w="2293" w:type="dxa"/>
            <w:tcBorders>
              <w:top w:val="nil"/>
              <w:left w:val="nil"/>
              <w:bottom w:val="nil"/>
              <w:right w:val="nil"/>
            </w:tcBorders>
            <w:shd w:val="clear" w:color="auto" w:fill="auto"/>
            <w:noWrap/>
            <w:vAlign w:val="bottom"/>
          </w:tcPr>
          <w:p w14:paraId="7AD19732" w14:textId="41E39156"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tcPr>
          <w:p w14:paraId="55A25971" w14:textId="52D7F51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1E5310B" w14:textId="77777777" w:rsidTr="000741BD">
        <w:trPr>
          <w:trHeight w:val="306"/>
        </w:trPr>
        <w:tc>
          <w:tcPr>
            <w:tcW w:w="292" w:type="dxa"/>
            <w:tcBorders>
              <w:top w:val="nil"/>
              <w:left w:val="nil"/>
              <w:bottom w:val="nil"/>
              <w:right w:val="nil"/>
            </w:tcBorders>
            <w:shd w:val="clear" w:color="000000" w:fill="CCFFFF"/>
            <w:noWrap/>
            <w:vAlign w:val="bottom"/>
            <w:hideMark/>
          </w:tcPr>
          <w:p w14:paraId="5FAF879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6BF0BAA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0D34EDD0"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Accumulated depreciation and impairment loss</w:t>
            </w:r>
          </w:p>
        </w:tc>
        <w:tc>
          <w:tcPr>
            <w:tcW w:w="2293" w:type="dxa"/>
            <w:tcBorders>
              <w:top w:val="nil"/>
              <w:left w:val="nil"/>
              <w:bottom w:val="single" w:sz="4" w:space="0" w:color="auto"/>
              <w:right w:val="nil"/>
            </w:tcBorders>
            <w:shd w:val="clear" w:color="000000" w:fill="CCFFFF"/>
            <w:noWrap/>
            <w:vAlign w:val="bottom"/>
          </w:tcPr>
          <w:p w14:paraId="4293FBEF" w14:textId="2FB07624"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4234E294" w14:textId="524B595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3255907" w14:textId="77777777" w:rsidTr="000741BD">
        <w:trPr>
          <w:trHeight w:val="306"/>
        </w:trPr>
        <w:tc>
          <w:tcPr>
            <w:tcW w:w="292" w:type="dxa"/>
            <w:tcBorders>
              <w:top w:val="nil"/>
              <w:left w:val="nil"/>
              <w:bottom w:val="nil"/>
              <w:right w:val="nil"/>
            </w:tcBorders>
            <w:shd w:val="clear" w:color="auto" w:fill="auto"/>
            <w:noWrap/>
            <w:vAlign w:val="bottom"/>
            <w:hideMark/>
          </w:tcPr>
          <w:p w14:paraId="50972E57"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52D9940D" w14:textId="77777777" w:rsidR="00982915" w:rsidRDefault="00982915">
            <w:pPr>
              <w:spacing w:after="0" w:line="0" w:lineRule="atLeast"/>
              <w:rPr>
                <w:rFonts w:ascii="Arial" w:eastAsia="Times New Roman" w:hAnsi="Arial" w:cs="Arial"/>
                <w:color w:val="000000"/>
                <w:sz w:val="18"/>
                <w:szCs w:val="18"/>
                <w:lang w:eastAsia="zh-CN"/>
              </w:rPr>
            </w:pPr>
          </w:p>
        </w:tc>
        <w:tc>
          <w:tcPr>
            <w:tcW w:w="320" w:type="dxa"/>
            <w:tcBorders>
              <w:top w:val="nil"/>
              <w:left w:val="nil"/>
              <w:bottom w:val="nil"/>
              <w:right w:val="nil"/>
            </w:tcBorders>
            <w:shd w:val="clear" w:color="auto" w:fill="auto"/>
            <w:noWrap/>
            <w:vAlign w:val="bottom"/>
            <w:hideMark/>
          </w:tcPr>
          <w:p w14:paraId="00119C68" w14:textId="77777777" w:rsidR="00982915" w:rsidRDefault="00982915">
            <w:pPr>
              <w:spacing w:after="0" w:line="0" w:lineRule="atLeast"/>
              <w:rPr>
                <w:rFonts w:ascii="Arial" w:eastAsia="Times New Roman" w:hAnsi="Arial" w:cs="Arial"/>
                <w:color w:val="000000"/>
                <w:sz w:val="18"/>
                <w:szCs w:val="18"/>
                <w:lang w:eastAsia="zh-CN"/>
              </w:rPr>
            </w:pPr>
          </w:p>
        </w:tc>
        <w:tc>
          <w:tcPr>
            <w:tcW w:w="4146" w:type="dxa"/>
            <w:gridSpan w:val="2"/>
            <w:tcBorders>
              <w:top w:val="nil"/>
              <w:left w:val="nil"/>
              <w:bottom w:val="nil"/>
              <w:right w:val="nil"/>
            </w:tcBorders>
            <w:shd w:val="clear" w:color="auto" w:fill="auto"/>
            <w:noWrap/>
            <w:vAlign w:val="bottom"/>
            <w:hideMark/>
          </w:tcPr>
          <w:p w14:paraId="3EA9E18D" w14:textId="77777777" w:rsidR="00982915" w:rsidRDefault="00EB6F73">
            <w:pPr>
              <w:spacing w:after="0" w:line="0" w:lineRule="atLeast"/>
              <w:ind w:leftChars="-10" w:left="-22"/>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Machinery, equipment and vehicles, net </w:t>
            </w:r>
          </w:p>
        </w:tc>
        <w:tc>
          <w:tcPr>
            <w:tcW w:w="2293" w:type="dxa"/>
            <w:tcBorders>
              <w:top w:val="nil"/>
              <w:left w:val="nil"/>
              <w:bottom w:val="single" w:sz="4" w:space="0" w:color="auto"/>
              <w:right w:val="nil"/>
            </w:tcBorders>
            <w:shd w:val="clear" w:color="auto" w:fill="auto"/>
            <w:noWrap/>
            <w:vAlign w:val="bottom"/>
          </w:tcPr>
          <w:p w14:paraId="163EB8AA" w14:textId="685BD8CB"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7F3F1C15" w14:textId="1FB11AB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2CCC67C9" w14:textId="77777777" w:rsidTr="000741BD">
        <w:trPr>
          <w:trHeight w:val="306"/>
        </w:trPr>
        <w:tc>
          <w:tcPr>
            <w:tcW w:w="292" w:type="dxa"/>
            <w:tcBorders>
              <w:top w:val="nil"/>
              <w:left w:val="nil"/>
              <w:bottom w:val="nil"/>
              <w:right w:val="nil"/>
            </w:tcBorders>
            <w:shd w:val="clear" w:color="000000" w:fill="CCFFFF"/>
            <w:noWrap/>
            <w:vAlign w:val="bottom"/>
            <w:hideMark/>
          </w:tcPr>
          <w:p w14:paraId="3AD51DB6"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1CE1A37D"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1749BA1F" w14:textId="77777777" w:rsidR="00982915" w:rsidRDefault="00EB6F73">
            <w:pPr>
              <w:spacing w:after="0" w:line="0" w:lineRule="atLeast"/>
              <w:ind w:leftChars="-56" w:left="-123"/>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Land </w:t>
            </w:r>
          </w:p>
        </w:tc>
        <w:tc>
          <w:tcPr>
            <w:tcW w:w="2293" w:type="dxa"/>
            <w:tcBorders>
              <w:top w:val="nil"/>
              <w:left w:val="nil"/>
              <w:bottom w:val="nil"/>
              <w:right w:val="nil"/>
            </w:tcBorders>
            <w:shd w:val="clear" w:color="000000" w:fill="CCFFFF"/>
            <w:noWrap/>
            <w:vAlign w:val="bottom"/>
          </w:tcPr>
          <w:p w14:paraId="0275E439" w14:textId="4D464E4F"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7FC11194" w14:textId="2698C18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A6E4423" w14:textId="77777777" w:rsidTr="000741BD">
        <w:trPr>
          <w:trHeight w:val="306"/>
        </w:trPr>
        <w:tc>
          <w:tcPr>
            <w:tcW w:w="292" w:type="dxa"/>
            <w:tcBorders>
              <w:top w:val="nil"/>
              <w:left w:val="nil"/>
              <w:bottom w:val="nil"/>
              <w:right w:val="nil"/>
            </w:tcBorders>
            <w:shd w:val="clear" w:color="auto" w:fill="auto"/>
            <w:noWrap/>
            <w:vAlign w:val="bottom"/>
            <w:hideMark/>
          </w:tcPr>
          <w:p w14:paraId="38B64EBB"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44F72510"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5855BB71" w14:textId="77777777" w:rsidR="00982915" w:rsidRDefault="00EB6F73">
            <w:pPr>
              <w:spacing w:after="0" w:line="0" w:lineRule="atLeast"/>
              <w:ind w:leftChars="-56" w:left="-123"/>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Lease assets</w:t>
            </w:r>
          </w:p>
        </w:tc>
        <w:tc>
          <w:tcPr>
            <w:tcW w:w="2293" w:type="dxa"/>
            <w:tcBorders>
              <w:top w:val="nil"/>
              <w:left w:val="nil"/>
              <w:bottom w:val="nil"/>
              <w:right w:val="nil"/>
            </w:tcBorders>
            <w:shd w:val="clear" w:color="auto" w:fill="auto"/>
            <w:noWrap/>
            <w:vAlign w:val="bottom"/>
          </w:tcPr>
          <w:p w14:paraId="6C04B5B7" w14:textId="64B4BA46"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tcPr>
          <w:p w14:paraId="0BBC1B41" w14:textId="1D3711DB"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96E7F44" w14:textId="77777777" w:rsidTr="000741BD">
        <w:trPr>
          <w:trHeight w:val="306"/>
        </w:trPr>
        <w:tc>
          <w:tcPr>
            <w:tcW w:w="292" w:type="dxa"/>
            <w:tcBorders>
              <w:top w:val="nil"/>
              <w:left w:val="nil"/>
              <w:bottom w:val="nil"/>
              <w:right w:val="nil"/>
            </w:tcBorders>
            <w:shd w:val="clear" w:color="000000" w:fill="CCFFFF"/>
            <w:noWrap/>
            <w:vAlign w:val="bottom"/>
            <w:hideMark/>
          </w:tcPr>
          <w:p w14:paraId="0338BD0C"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32B9300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05745F01"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Accumulated depreciation and impairment loss </w:t>
            </w:r>
          </w:p>
        </w:tc>
        <w:tc>
          <w:tcPr>
            <w:tcW w:w="2293" w:type="dxa"/>
            <w:tcBorders>
              <w:top w:val="nil"/>
              <w:left w:val="nil"/>
              <w:bottom w:val="single" w:sz="4" w:space="0" w:color="auto"/>
              <w:right w:val="nil"/>
            </w:tcBorders>
            <w:shd w:val="clear" w:color="000000" w:fill="CCFFFF"/>
            <w:noWrap/>
            <w:vAlign w:val="bottom"/>
          </w:tcPr>
          <w:p w14:paraId="5C6D6767" w14:textId="331D7AEA"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6C24C38A" w14:textId="045B06B8"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2EE2FAF" w14:textId="77777777" w:rsidTr="000741BD">
        <w:trPr>
          <w:trHeight w:val="306"/>
        </w:trPr>
        <w:tc>
          <w:tcPr>
            <w:tcW w:w="292" w:type="dxa"/>
            <w:tcBorders>
              <w:top w:val="nil"/>
              <w:left w:val="nil"/>
              <w:bottom w:val="nil"/>
              <w:right w:val="nil"/>
            </w:tcBorders>
            <w:shd w:val="clear" w:color="auto" w:fill="auto"/>
            <w:noWrap/>
            <w:vAlign w:val="bottom"/>
            <w:hideMark/>
          </w:tcPr>
          <w:p w14:paraId="7F153089"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6AF3F9FE" w14:textId="77777777" w:rsidR="00982915" w:rsidRDefault="00982915">
            <w:pPr>
              <w:spacing w:after="0" w:line="0" w:lineRule="atLeast"/>
              <w:rPr>
                <w:rFonts w:ascii="Arial" w:eastAsia="Times New Roman" w:hAnsi="Arial" w:cs="Arial"/>
                <w:color w:val="000000"/>
                <w:sz w:val="18"/>
                <w:szCs w:val="18"/>
                <w:lang w:eastAsia="zh-CN"/>
              </w:rPr>
            </w:pPr>
          </w:p>
        </w:tc>
        <w:tc>
          <w:tcPr>
            <w:tcW w:w="320" w:type="dxa"/>
            <w:tcBorders>
              <w:top w:val="nil"/>
              <w:left w:val="nil"/>
              <w:bottom w:val="nil"/>
              <w:right w:val="nil"/>
            </w:tcBorders>
            <w:shd w:val="clear" w:color="auto" w:fill="auto"/>
            <w:noWrap/>
            <w:vAlign w:val="bottom"/>
            <w:hideMark/>
          </w:tcPr>
          <w:p w14:paraId="2CCA79CA" w14:textId="77777777" w:rsidR="00982915" w:rsidRDefault="00982915">
            <w:pPr>
              <w:spacing w:after="0" w:line="0" w:lineRule="atLeast"/>
              <w:rPr>
                <w:rFonts w:ascii="Arial" w:eastAsia="Times New Roman" w:hAnsi="Arial" w:cs="Arial"/>
                <w:color w:val="000000"/>
                <w:sz w:val="18"/>
                <w:szCs w:val="18"/>
                <w:lang w:eastAsia="zh-CN"/>
              </w:rPr>
            </w:pPr>
          </w:p>
        </w:tc>
        <w:tc>
          <w:tcPr>
            <w:tcW w:w="4146" w:type="dxa"/>
            <w:gridSpan w:val="2"/>
            <w:tcBorders>
              <w:top w:val="nil"/>
              <w:left w:val="nil"/>
              <w:bottom w:val="nil"/>
              <w:right w:val="nil"/>
            </w:tcBorders>
            <w:shd w:val="clear" w:color="auto" w:fill="auto"/>
            <w:noWrap/>
            <w:vAlign w:val="bottom"/>
            <w:hideMark/>
          </w:tcPr>
          <w:p w14:paraId="6EAEFF3D" w14:textId="77777777" w:rsidR="00982915" w:rsidRDefault="00EB6F73">
            <w:pPr>
              <w:spacing w:after="0" w:line="0" w:lineRule="atLeast"/>
              <w:ind w:leftChars="-10" w:left="-22"/>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Lease assets, net</w:t>
            </w:r>
          </w:p>
        </w:tc>
        <w:tc>
          <w:tcPr>
            <w:tcW w:w="2293" w:type="dxa"/>
            <w:tcBorders>
              <w:top w:val="nil"/>
              <w:left w:val="nil"/>
              <w:bottom w:val="single" w:sz="4" w:space="0" w:color="auto"/>
              <w:right w:val="nil"/>
            </w:tcBorders>
            <w:shd w:val="clear" w:color="auto" w:fill="auto"/>
            <w:noWrap/>
            <w:vAlign w:val="bottom"/>
          </w:tcPr>
          <w:p w14:paraId="4A82C497" w14:textId="0237D1A4"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15BCB165" w14:textId="0D013415"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CD4D18A" w14:textId="77777777" w:rsidTr="000741BD">
        <w:trPr>
          <w:trHeight w:val="306"/>
        </w:trPr>
        <w:tc>
          <w:tcPr>
            <w:tcW w:w="292" w:type="dxa"/>
            <w:tcBorders>
              <w:top w:val="nil"/>
              <w:left w:val="nil"/>
              <w:bottom w:val="nil"/>
              <w:right w:val="nil"/>
            </w:tcBorders>
            <w:shd w:val="clear" w:color="000000" w:fill="CCFFFF"/>
            <w:noWrap/>
            <w:vAlign w:val="bottom"/>
            <w:hideMark/>
          </w:tcPr>
          <w:p w14:paraId="06A804B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76C8FC6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1786EC4C" w14:textId="77777777" w:rsidR="00982915" w:rsidRDefault="00EB6F73">
            <w:pPr>
              <w:spacing w:after="0" w:line="0" w:lineRule="atLeast"/>
              <w:ind w:leftChars="-56" w:left="-123"/>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Other </w:t>
            </w:r>
          </w:p>
        </w:tc>
        <w:tc>
          <w:tcPr>
            <w:tcW w:w="2293" w:type="dxa"/>
            <w:tcBorders>
              <w:top w:val="nil"/>
              <w:left w:val="nil"/>
              <w:bottom w:val="nil"/>
              <w:right w:val="nil"/>
            </w:tcBorders>
            <w:shd w:val="clear" w:color="000000" w:fill="CCFFFF"/>
            <w:noWrap/>
            <w:vAlign w:val="bottom"/>
          </w:tcPr>
          <w:p w14:paraId="2E23ECDD" w14:textId="5FB74C1E"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3342982D" w14:textId="3272230C"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627DFB6" w14:textId="77777777" w:rsidTr="000741BD">
        <w:trPr>
          <w:trHeight w:val="306"/>
        </w:trPr>
        <w:tc>
          <w:tcPr>
            <w:tcW w:w="292" w:type="dxa"/>
            <w:tcBorders>
              <w:top w:val="nil"/>
              <w:left w:val="nil"/>
              <w:bottom w:val="nil"/>
              <w:right w:val="nil"/>
            </w:tcBorders>
            <w:shd w:val="clear" w:color="auto" w:fill="auto"/>
            <w:noWrap/>
            <w:vAlign w:val="bottom"/>
            <w:hideMark/>
          </w:tcPr>
          <w:p w14:paraId="2B7750C8"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1B62E499"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3BE87030"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Accumulated depreciation and impairment loss</w:t>
            </w:r>
          </w:p>
        </w:tc>
        <w:tc>
          <w:tcPr>
            <w:tcW w:w="2293" w:type="dxa"/>
            <w:tcBorders>
              <w:top w:val="nil"/>
              <w:left w:val="nil"/>
              <w:bottom w:val="single" w:sz="4" w:space="0" w:color="auto"/>
              <w:right w:val="nil"/>
            </w:tcBorders>
            <w:shd w:val="clear" w:color="auto" w:fill="auto"/>
            <w:noWrap/>
            <w:vAlign w:val="bottom"/>
          </w:tcPr>
          <w:p w14:paraId="5F24BA87" w14:textId="31648A25"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1F14A5C3" w14:textId="15EFF3B1"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3644EC5" w14:textId="77777777" w:rsidTr="000741BD">
        <w:trPr>
          <w:trHeight w:val="306"/>
        </w:trPr>
        <w:tc>
          <w:tcPr>
            <w:tcW w:w="292" w:type="dxa"/>
            <w:tcBorders>
              <w:top w:val="nil"/>
              <w:left w:val="nil"/>
              <w:bottom w:val="nil"/>
              <w:right w:val="nil"/>
            </w:tcBorders>
            <w:shd w:val="clear" w:color="000000" w:fill="CCFFFF"/>
            <w:noWrap/>
            <w:vAlign w:val="bottom"/>
            <w:hideMark/>
          </w:tcPr>
          <w:p w14:paraId="72BE39F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06C25B2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20" w:type="dxa"/>
            <w:tcBorders>
              <w:top w:val="nil"/>
              <w:left w:val="nil"/>
              <w:bottom w:val="nil"/>
              <w:right w:val="nil"/>
            </w:tcBorders>
            <w:shd w:val="clear" w:color="000000" w:fill="CCFFFF"/>
            <w:noWrap/>
            <w:vAlign w:val="bottom"/>
            <w:hideMark/>
          </w:tcPr>
          <w:p w14:paraId="692E9C7C"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146" w:type="dxa"/>
            <w:gridSpan w:val="2"/>
            <w:tcBorders>
              <w:top w:val="nil"/>
              <w:left w:val="nil"/>
              <w:bottom w:val="nil"/>
              <w:right w:val="nil"/>
            </w:tcBorders>
            <w:shd w:val="clear" w:color="000000" w:fill="CCFFFF"/>
            <w:noWrap/>
            <w:vAlign w:val="bottom"/>
            <w:hideMark/>
          </w:tcPr>
          <w:p w14:paraId="3C36344A" w14:textId="77777777" w:rsidR="00982915" w:rsidRDefault="00EB6F73">
            <w:pPr>
              <w:spacing w:after="0" w:line="0" w:lineRule="atLeast"/>
              <w:ind w:leftChars="-10" w:left="-22"/>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Other, net </w:t>
            </w:r>
          </w:p>
        </w:tc>
        <w:tc>
          <w:tcPr>
            <w:tcW w:w="2293" w:type="dxa"/>
            <w:tcBorders>
              <w:top w:val="nil"/>
              <w:left w:val="nil"/>
              <w:bottom w:val="single" w:sz="4" w:space="0" w:color="auto"/>
              <w:right w:val="nil"/>
            </w:tcBorders>
            <w:shd w:val="clear" w:color="000000" w:fill="CCFFFF"/>
            <w:noWrap/>
            <w:vAlign w:val="bottom"/>
          </w:tcPr>
          <w:p w14:paraId="0680BC4D" w14:textId="20AB4874"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13C4790B" w14:textId="791473CC"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AD2B16C" w14:textId="77777777" w:rsidTr="000741BD">
        <w:trPr>
          <w:trHeight w:val="306"/>
        </w:trPr>
        <w:tc>
          <w:tcPr>
            <w:tcW w:w="292" w:type="dxa"/>
            <w:tcBorders>
              <w:top w:val="nil"/>
              <w:left w:val="nil"/>
              <w:bottom w:val="nil"/>
              <w:right w:val="nil"/>
            </w:tcBorders>
            <w:shd w:val="clear" w:color="auto" w:fill="auto"/>
            <w:noWrap/>
            <w:vAlign w:val="bottom"/>
            <w:hideMark/>
          </w:tcPr>
          <w:p w14:paraId="6A2EC91C"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1FE62698"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5B634C84" w14:textId="77777777" w:rsidR="00982915" w:rsidRDefault="00EB6F73">
            <w:pPr>
              <w:spacing w:after="0" w:line="0" w:lineRule="atLeast"/>
              <w:ind w:leftChars="-56" w:left="-123"/>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property, </w:t>
            </w:r>
            <w:proofErr w:type="gramStart"/>
            <w:r>
              <w:rPr>
                <w:rFonts w:ascii="Arial" w:eastAsia="Times New Roman" w:hAnsi="Arial" w:cs="Arial"/>
                <w:color w:val="000000"/>
                <w:sz w:val="18"/>
                <w:szCs w:val="18"/>
                <w:lang w:eastAsia="zh-CN"/>
              </w:rPr>
              <w:t>plant</w:t>
            </w:r>
            <w:proofErr w:type="gramEnd"/>
            <w:r>
              <w:rPr>
                <w:rFonts w:ascii="Arial" w:eastAsia="Times New Roman" w:hAnsi="Arial" w:cs="Arial"/>
                <w:color w:val="000000"/>
                <w:sz w:val="18"/>
                <w:szCs w:val="18"/>
                <w:lang w:eastAsia="zh-CN"/>
              </w:rPr>
              <w:t xml:space="preserve"> and equipment </w:t>
            </w:r>
          </w:p>
        </w:tc>
        <w:tc>
          <w:tcPr>
            <w:tcW w:w="2293" w:type="dxa"/>
            <w:tcBorders>
              <w:top w:val="nil"/>
              <w:left w:val="nil"/>
              <w:bottom w:val="single" w:sz="4" w:space="0" w:color="auto"/>
              <w:right w:val="nil"/>
            </w:tcBorders>
            <w:shd w:val="clear" w:color="auto" w:fill="auto"/>
            <w:noWrap/>
            <w:vAlign w:val="bottom"/>
          </w:tcPr>
          <w:p w14:paraId="0B7B3FBE" w14:textId="44206B07"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1249230F" w14:textId="660760FB"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B35740F" w14:textId="77777777" w:rsidTr="000741BD">
        <w:trPr>
          <w:trHeight w:val="306"/>
        </w:trPr>
        <w:tc>
          <w:tcPr>
            <w:tcW w:w="292" w:type="dxa"/>
            <w:tcBorders>
              <w:top w:val="nil"/>
              <w:left w:val="nil"/>
              <w:bottom w:val="nil"/>
              <w:right w:val="nil"/>
            </w:tcBorders>
            <w:shd w:val="clear" w:color="000000" w:fill="CCFFFF"/>
            <w:noWrap/>
            <w:vAlign w:val="bottom"/>
            <w:hideMark/>
          </w:tcPr>
          <w:p w14:paraId="1FED2DD7"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500" w:type="dxa"/>
            <w:gridSpan w:val="4"/>
            <w:tcBorders>
              <w:top w:val="nil"/>
              <w:left w:val="nil"/>
              <w:bottom w:val="nil"/>
              <w:right w:val="nil"/>
            </w:tcBorders>
            <w:shd w:val="clear" w:color="000000" w:fill="CCFFFF"/>
            <w:noWrap/>
            <w:vAlign w:val="bottom"/>
            <w:hideMark/>
          </w:tcPr>
          <w:p w14:paraId="69044E0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Intangible assets</w:t>
            </w:r>
          </w:p>
        </w:tc>
        <w:tc>
          <w:tcPr>
            <w:tcW w:w="2293" w:type="dxa"/>
            <w:tcBorders>
              <w:top w:val="nil"/>
              <w:left w:val="nil"/>
              <w:bottom w:val="nil"/>
              <w:right w:val="nil"/>
            </w:tcBorders>
            <w:shd w:val="clear" w:color="000000" w:fill="CCFFFF"/>
            <w:noWrap/>
            <w:vAlign w:val="bottom"/>
          </w:tcPr>
          <w:p w14:paraId="65320981" w14:textId="4262BF64" w:rsidR="00982915" w:rsidRDefault="00982915">
            <w:pPr>
              <w:spacing w:after="0" w:line="0" w:lineRule="atLeas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4BA38516" w14:textId="2AB6D053" w:rsidR="00982915" w:rsidRDefault="00982915">
            <w:pPr>
              <w:spacing w:after="0" w:line="0" w:lineRule="atLeast"/>
              <w:rPr>
                <w:rFonts w:ascii="Arial" w:eastAsia="Times New Roman" w:hAnsi="Arial" w:cs="Arial"/>
                <w:color w:val="000000"/>
                <w:sz w:val="18"/>
                <w:szCs w:val="18"/>
                <w:lang w:eastAsia="zh-CN"/>
              </w:rPr>
            </w:pPr>
          </w:p>
        </w:tc>
      </w:tr>
      <w:tr w:rsidR="00982915" w14:paraId="3341ED55" w14:textId="77777777" w:rsidTr="000741BD">
        <w:trPr>
          <w:trHeight w:val="306"/>
        </w:trPr>
        <w:tc>
          <w:tcPr>
            <w:tcW w:w="292" w:type="dxa"/>
            <w:tcBorders>
              <w:top w:val="nil"/>
              <w:left w:val="nil"/>
              <w:bottom w:val="nil"/>
              <w:right w:val="nil"/>
            </w:tcBorders>
            <w:shd w:val="clear" w:color="auto" w:fill="auto"/>
            <w:noWrap/>
            <w:vAlign w:val="bottom"/>
            <w:hideMark/>
          </w:tcPr>
          <w:p w14:paraId="2CB23FD6"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4D47CD28"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56965E42"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Goodwill</w:t>
            </w:r>
          </w:p>
        </w:tc>
        <w:tc>
          <w:tcPr>
            <w:tcW w:w="2293" w:type="dxa"/>
            <w:tcBorders>
              <w:top w:val="nil"/>
              <w:left w:val="nil"/>
              <w:bottom w:val="nil"/>
              <w:right w:val="nil"/>
            </w:tcBorders>
            <w:shd w:val="clear" w:color="auto" w:fill="auto"/>
            <w:noWrap/>
            <w:vAlign w:val="bottom"/>
          </w:tcPr>
          <w:p w14:paraId="61AAE4F0" w14:textId="1F3F641F"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tcPr>
          <w:p w14:paraId="741DB8A8" w14:textId="615544DB"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94AB623" w14:textId="77777777" w:rsidTr="000741BD">
        <w:trPr>
          <w:trHeight w:val="306"/>
        </w:trPr>
        <w:tc>
          <w:tcPr>
            <w:tcW w:w="292" w:type="dxa"/>
            <w:tcBorders>
              <w:top w:val="nil"/>
              <w:left w:val="nil"/>
              <w:bottom w:val="nil"/>
              <w:right w:val="nil"/>
            </w:tcBorders>
            <w:shd w:val="clear" w:color="000000" w:fill="CCFFFF"/>
            <w:noWrap/>
            <w:vAlign w:val="bottom"/>
            <w:hideMark/>
          </w:tcPr>
          <w:p w14:paraId="033AA9B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7C8E01DC"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6EEA4517"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Other </w:t>
            </w:r>
          </w:p>
        </w:tc>
        <w:tc>
          <w:tcPr>
            <w:tcW w:w="2293" w:type="dxa"/>
            <w:tcBorders>
              <w:top w:val="nil"/>
              <w:left w:val="nil"/>
              <w:bottom w:val="single" w:sz="4" w:space="0" w:color="auto"/>
              <w:right w:val="nil"/>
            </w:tcBorders>
            <w:shd w:val="clear" w:color="000000" w:fill="CCFFFF"/>
            <w:noWrap/>
            <w:vAlign w:val="bottom"/>
          </w:tcPr>
          <w:p w14:paraId="2C6970FA" w14:textId="7672D112"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641FF6C4" w14:textId="5DF0B59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D1877A4" w14:textId="77777777" w:rsidTr="000741BD">
        <w:trPr>
          <w:trHeight w:val="306"/>
        </w:trPr>
        <w:tc>
          <w:tcPr>
            <w:tcW w:w="292" w:type="dxa"/>
            <w:tcBorders>
              <w:top w:val="nil"/>
              <w:left w:val="nil"/>
              <w:bottom w:val="nil"/>
              <w:right w:val="nil"/>
            </w:tcBorders>
            <w:shd w:val="clear" w:color="auto" w:fill="auto"/>
            <w:noWrap/>
            <w:vAlign w:val="bottom"/>
            <w:hideMark/>
          </w:tcPr>
          <w:p w14:paraId="023A3D00"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0F42EC24" w14:textId="77777777" w:rsidR="00982915" w:rsidRDefault="00982915">
            <w:pPr>
              <w:spacing w:after="0" w:line="0" w:lineRule="atLeast"/>
              <w:rPr>
                <w:rFonts w:ascii="Arial" w:eastAsia="Times New Roman" w:hAnsi="Arial" w:cs="Arial"/>
                <w:color w:val="000000"/>
                <w:sz w:val="18"/>
                <w:szCs w:val="18"/>
                <w:lang w:eastAsia="zh-CN"/>
              </w:rPr>
            </w:pPr>
          </w:p>
        </w:tc>
        <w:tc>
          <w:tcPr>
            <w:tcW w:w="320" w:type="dxa"/>
            <w:tcBorders>
              <w:top w:val="nil"/>
              <w:left w:val="nil"/>
              <w:bottom w:val="nil"/>
              <w:right w:val="nil"/>
            </w:tcBorders>
            <w:shd w:val="clear" w:color="auto" w:fill="auto"/>
            <w:noWrap/>
            <w:vAlign w:val="bottom"/>
            <w:hideMark/>
          </w:tcPr>
          <w:p w14:paraId="1569CAF8" w14:textId="77777777" w:rsidR="00982915" w:rsidRDefault="00982915">
            <w:pPr>
              <w:spacing w:after="0" w:line="0" w:lineRule="atLeast"/>
              <w:rPr>
                <w:rFonts w:ascii="Arial" w:eastAsia="Times New Roman" w:hAnsi="Arial" w:cs="Arial"/>
                <w:color w:val="000000"/>
                <w:sz w:val="18"/>
                <w:szCs w:val="18"/>
                <w:lang w:eastAsia="zh-CN"/>
              </w:rPr>
            </w:pPr>
          </w:p>
        </w:tc>
        <w:tc>
          <w:tcPr>
            <w:tcW w:w="4146" w:type="dxa"/>
            <w:gridSpan w:val="2"/>
            <w:tcBorders>
              <w:top w:val="nil"/>
              <w:left w:val="nil"/>
              <w:bottom w:val="nil"/>
              <w:right w:val="nil"/>
            </w:tcBorders>
            <w:shd w:val="clear" w:color="auto" w:fill="auto"/>
            <w:noWrap/>
            <w:vAlign w:val="bottom"/>
            <w:hideMark/>
          </w:tcPr>
          <w:p w14:paraId="169C44D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Intangible assets </w:t>
            </w:r>
          </w:p>
        </w:tc>
        <w:tc>
          <w:tcPr>
            <w:tcW w:w="2293" w:type="dxa"/>
            <w:tcBorders>
              <w:top w:val="nil"/>
              <w:left w:val="nil"/>
              <w:bottom w:val="single" w:sz="4" w:space="0" w:color="auto"/>
              <w:right w:val="nil"/>
            </w:tcBorders>
            <w:shd w:val="clear" w:color="auto" w:fill="auto"/>
            <w:noWrap/>
            <w:vAlign w:val="bottom"/>
          </w:tcPr>
          <w:p w14:paraId="0408CCA9" w14:textId="73C83B4A"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60A034DA" w14:textId="2DCB855E"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067154B" w14:textId="77777777" w:rsidTr="000741BD">
        <w:trPr>
          <w:trHeight w:val="306"/>
        </w:trPr>
        <w:tc>
          <w:tcPr>
            <w:tcW w:w="292" w:type="dxa"/>
            <w:tcBorders>
              <w:top w:val="nil"/>
              <w:left w:val="nil"/>
              <w:bottom w:val="nil"/>
              <w:right w:val="nil"/>
            </w:tcBorders>
            <w:shd w:val="clear" w:color="000000" w:fill="CCFFFF"/>
            <w:noWrap/>
            <w:vAlign w:val="bottom"/>
            <w:hideMark/>
          </w:tcPr>
          <w:p w14:paraId="2EB2D6B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500" w:type="dxa"/>
            <w:gridSpan w:val="4"/>
            <w:tcBorders>
              <w:top w:val="nil"/>
              <w:left w:val="nil"/>
              <w:bottom w:val="nil"/>
              <w:right w:val="nil"/>
            </w:tcBorders>
            <w:shd w:val="clear" w:color="000000" w:fill="CCFFFF"/>
            <w:noWrap/>
            <w:vAlign w:val="bottom"/>
            <w:hideMark/>
          </w:tcPr>
          <w:p w14:paraId="1DE452B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Investments and other assets</w:t>
            </w:r>
          </w:p>
        </w:tc>
        <w:tc>
          <w:tcPr>
            <w:tcW w:w="2293" w:type="dxa"/>
            <w:tcBorders>
              <w:top w:val="nil"/>
              <w:left w:val="nil"/>
              <w:bottom w:val="nil"/>
              <w:right w:val="nil"/>
            </w:tcBorders>
            <w:shd w:val="clear" w:color="000000" w:fill="CCFFFF"/>
            <w:noWrap/>
            <w:vAlign w:val="bottom"/>
          </w:tcPr>
          <w:p w14:paraId="5B45482F" w14:textId="46E5ECFA" w:rsidR="00982915" w:rsidRDefault="00982915">
            <w:pPr>
              <w:spacing w:after="0" w:line="0" w:lineRule="atLeas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000000" w:fill="CCFFFF"/>
            <w:noWrap/>
            <w:vAlign w:val="bottom"/>
          </w:tcPr>
          <w:p w14:paraId="0BEF24E5" w14:textId="63978569" w:rsidR="00982915" w:rsidRDefault="00982915">
            <w:pPr>
              <w:spacing w:after="0" w:line="0" w:lineRule="atLeast"/>
              <w:rPr>
                <w:rFonts w:ascii="Arial" w:eastAsia="Times New Roman" w:hAnsi="Arial" w:cs="Arial"/>
                <w:color w:val="000000"/>
                <w:sz w:val="18"/>
                <w:szCs w:val="18"/>
                <w:lang w:eastAsia="zh-CN"/>
              </w:rPr>
            </w:pPr>
          </w:p>
        </w:tc>
      </w:tr>
      <w:tr w:rsidR="00982915" w14:paraId="62C1715D" w14:textId="77777777" w:rsidTr="000741BD">
        <w:trPr>
          <w:trHeight w:val="306"/>
        </w:trPr>
        <w:tc>
          <w:tcPr>
            <w:tcW w:w="292" w:type="dxa"/>
            <w:tcBorders>
              <w:top w:val="nil"/>
              <w:left w:val="nil"/>
              <w:bottom w:val="nil"/>
              <w:right w:val="nil"/>
            </w:tcBorders>
            <w:shd w:val="clear" w:color="auto" w:fill="auto"/>
            <w:noWrap/>
            <w:vAlign w:val="bottom"/>
            <w:hideMark/>
          </w:tcPr>
          <w:p w14:paraId="3DA8CF9D"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10318D22" w14:textId="77777777" w:rsidR="00982915" w:rsidRDefault="00982915">
            <w:pPr>
              <w:spacing w:after="0" w:line="0" w:lineRule="atLeast"/>
              <w:rPr>
                <w:rFonts w:ascii="Arial" w:eastAsia="Times New Roman" w:hAnsi="Arial" w:cs="Arial"/>
                <w:color w:val="000000"/>
                <w:sz w:val="18"/>
                <w:szCs w:val="18"/>
                <w:lang w:eastAsia="zh-CN"/>
              </w:rPr>
            </w:pPr>
          </w:p>
        </w:tc>
        <w:tc>
          <w:tcPr>
            <w:tcW w:w="4466" w:type="dxa"/>
            <w:gridSpan w:val="3"/>
            <w:tcBorders>
              <w:top w:val="nil"/>
              <w:left w:val="nil"/>
              <w:bottom w:val="nil"/>
              <w:right w:val="nil"/>
            </w:tcBorders>
            <w:shd w:val="clear" w:color="auto" w:fill="auto"/>
            <w:noWrap/>
            <w:vAlign w:val="bottom"/>
            <w:hideMark/>
          </w:tcPr>
          <w:p w14:paraId="580015AF"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Investments and other assets</w:t>
            </w:r>
          </w:p>
        </w:tc>
        <w:tc>
          <w:tcPr>
            <w:tcW w:w="2293" w:type="dxa"/>
            <w:tcBorders>
              <w:top w:val="nil"/>
              <w:left w:val="nil"/>
              <w:bottom w:val="nil"/>
              <w:right w:val="nil"/>
            </w:tcBorders>
            <w:shd w:val="clear" w:color="auto" w:fill="auto"/>
            <w:noWrap/>
            <w:vAlign w:val="bottom"/>
          </w:tcPr>
          <w:p w14:paraId="164CCD98" w14:textId="73E40BFC"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nil"/>
              <w:right w:val="nil"/>
            </w:tcBorders>
            <w:shd w:val="clear" w:color="auto" w:fill="auto"/>
            <w:noWrap/>
            <w:vAlign w:val="bottom"/>
          </w:tcPr>
          <w:p w14:paraId="1B77ECBB" w14:textId="7DC118D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5494729" w14:textId="77777777" w:rsidTr="000741BD">
        <w:trPr>
          <w:trHeight w:val="306"/>
        </w:trPr>
        <w:tc>
          <w:tcPr>
            <w:tcW w:w="292" w:type="dxa"/>
            <w:tcBorders>
              <w:top w:val="nil"/>
              <w:left w:val="nil"/>
              <w:bottom w:val="nil"/>
              <w:right w:val="nil"/>
            </w:tcBorders>
            <w:shd w:val="clear" w:color="000000" w:fill="CCFFFF"/>
            <w:noWrap/>
            <w:vAlign w:val="bottom"/>
            <w:hideMark/>
          </w:tcPr>
          <w:p w14:paraId="3226D5CD"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4" w:type="dxa"/>
            <w:tcBorders>
              <w:top w:val="nil"/>
              <w:left w:val="nil"/>
              <w:bottom w:val="nil"/>
              <w:right w:val="nil"/>
            </w:tcBorders>
            <w:shd w:val="clear" w:color="000000" w:fill="CCFFFF"/>
            <w:noWrap/>
            <w:vAlign w:val="bottom"/>
            <w:hideMark/>
          </w:tcPr>
          <w:p w14:paraId="16E4EB3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466" w:type="dxa"/>
            <w:gridSpan w:val="3"/>
            <w:tcBorders>
              <w:top w:val="nil"/>
              <w:left w:val="nil"/>
              <w:bottom w:val="nil"/>
              <w:right w:val="nil"/>
            </w:tcBorders>
            <w:shd w:val="clear" w:color="000000" w:fill="CCFFFF"/>
            <w:noWrap/>
            <w:vAlign w:val="bottom"/>
            <w:hideMark/>
          </w:tcPr>
          <w:p w14:paraId="6720A3B3" w14:textId="77777777" w:rsidR="00982915" w:rsidRDefault="00EB6F73">
            <w:pPr>
              <w:spacing w:after="0" w:line="0" w:lineRule="atLeast"/>
              <w:ind w:leftChars="137" w:left="301"/>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Allowance for doubtful accounts</w:t>
            </w:r>
          </w:p>
        </w:tc>
        <w:tc>
          <w:tcPr>
            <w:tcW w:w="2293" w:type="dxa"/>
            <w:tcBorders>
              <w:top w:val="nil"/>
              <w:left w:val="nil"/>
              <w:bottom w:val="single" w:sz="4" w:space="0" w:color="auto"/>
              <w:right w:val="nil"/>
            </w:tcBorders>
            <w:shd w:val="clear" w:color="000000" w:fill="CCFFFF"/>
            <w:noWrap/>
            <w:vAlign w:val="bottom"/>
          </w:tcPr>
          <w:p w14:paraId="6A34FA7E" w14:textId="11BB73E7"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0D7AA644" w14:textId="0EACAED2"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D92AB43" w14:textId="77777777" w:rsidTr="000741BD">
        <w:trPr>
          <w:trHeight w:val="306"/>
        </w:trPr>
        <w:tc>
          <w:tcPr>
            <w:tcW w:w="292" w:type="dxa"/>
            <w:tcBorders>
              <w:top w:val="nil"/>
              <w:left w:val="nil"/>
              <w:bottom w:val="nil"/>
              <w:right w:val="nil"/>
            </w:tcBorders>
            <w:shd w:val="clear" w:color="auto" w:fill="auto"/>
            <w:noWrap/>
            <w:vAlign w:val="bottom"/>
            <w:hideMark/>
          </w:tcPr>
          <w:p w14:paraId="573BBC2C" w14:textId="77777777" w:rsidR="00982915" w:rsidRDefault="00982915">
            <w:pPr>
              <w:spacing w:after="0" w:line="0" w:lineRule="atLeast"/>
              <w:rPr>
                <w:rFonts w:ascii="Arial" w:eastAsia="Times New Roman" w:hAnsi="Arial" w:cs="Arial"/>
                <w:color w:val="000000"/>
                <w:sz w:val="18"/>
                <w:szCs w:val="18"/>
                <w:lang w:eastAsia="zh-CN"/>
              </w:rPr>
            </w:pPr>
          </w:p>
        </w:tc>
        <w:tc>
          <w:tcPr>
            <w:tcW w:w="1034" w:type="dxa"/>
            <w:tcBorders>
              <w:top w:val="nil"/>
              <w:left w:val="nil"/>
              <w:bottom w:val="nil"/>
              <w:right w:val="nil"/>
            </w:tcBorders>
            <w:shd w:val="clear" w:color="auto" w:fill="auto"/>
            <w:noWrap/>
            <w:vAlign w:val="bottom"/>
            <w:hideMark/>
          </w:tcPr>
          <w:p w14:paraId="29AEBA61" w14:textId="77777777" w:rsidR="00982915" w:rsidRDefault="00982915">
            <w:pPr>
              <w:spacing w:after="0" w:line="0" w:lineRule="atLeast"/>
              <w:rPr>
                <w:rFonts w:ascii="Arial" w:eastAsia="Times New Roman" w:hAnsi="Arial" w:cs="Arial"/>
                <w:color w:val="000000"/>
                <w:sz w:val="18"/>
                <w:szCs w:val="18"/>
                <w:lang w:eastAsia="zh-CN"/>
              </w:rPr>
            </w:pPr>
          </w:p>
        </w:tc>
        <w:tc>
          <w:tcPr>
            <w:tcW w:w="320" w:type="dxa"/>
            <w:tcBorders>
              <w:top w:val="nil"/>
              <w:left w:val="nil"/>
              <w:bottom w:val="nil"/>
              <w:right w:val="nil"/>
            </w:tcBorders>
            <w:shd w:val="clear" w:color="auto" w:fill="auto"/>
            <w:noWrap/>
            <w:vAlign w:val="bottom"/>
            <w:hideMark/>
          </w:tcPr>
          <w:p w14:paraId="2F30DF46" w14:textId="77777777" w:rsidR="00982915" w:rsidRDefault="00982915">
            <w:pPr>
              <w:spacing w:after="0" w:line="0" w:lineRule="atLeast"/>
              <w:rPr>
                <w:rFonts w:ascii="Arial" w:eastAsia="Times New Roman" w:hAnsi="Arial" w:cs="Arial"/>
                <w:color w:val="000000"/>
                <w:sz w:val="18"/>
                <w:szCs w:val="18"/>
                <w:lang w:eastAsia="zh-CN"/>
              </w:rPr>
            </w:pPr>
          </w:p>
        </w:tc>
        <w:tc>
          <w:tcPr>
            <w:tcW w:w="4146" w:type="dxa"/>
            <w:gridSpan w:val="2"/>
            <w:tcBorders>
              <w:top w:val="nil"/>
              <w:left w:val="nil"/>
              <w:bottom w:val="nil"/>
              <w:right w:val="nil"/>
            </w:tcBorders>
            <w:shd w:val="clear" w:color="auto" w:fill="auto"/>
            <w:noWrap/>
            <w:vAlign w:val="bottom"/>
            <w:hideMark/>
          </w:tcPr>
          <w:p w14:paraId="00F2579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investments and other assets </w:t>
            </w:r>
          </w:p>
        </w:tc>
        <w:tc>
          <w:tcPr>
            <w:tcW w:w="2293" w:type="dxa"/>
            <w:tcBorders>
              <w:top w:val="nil"/>
              <w:left w:val="nil"/>
              <w:bottom w:val="single" w:sz="4" w:space="0" w:color="auto"/>
              <w:right w:val="nil"/>
            </w:tcBorders>
            <w:shd w:val="clear" w:color="auto" w:fill="auto"/>
            <w:noWrap/>
            <w:vAlign w:val="bottom"/>
          </w:tcPr>
          <w:p w14:paraId="6C165F64" w14:textId="1CEE1D4F"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315679FD" w14:textId="5F5A0E9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2876F399" w14:textId="77777777" w:rsidTr="000741BD">
        <w:trPr>
          <w:trHeight w:val="306"/>
        </w:trPr>
        <w:tc>
          <w:tcPr>
            <w:tcW w:w="292" w:type="dxa"/>
            <w:tcBorders>
              <w:top w:val="nil"/>
              <w:left w:val="nil"/>
              <w:bottom w:val="nil"/>
              <w:right w:val="nil"/>
            </w:tcBorders>
            <w:shd w:val="clear" w:color="000000" w:fill="CCFFFF"/>
            <w:noWrap/>
            <w:vAlign w:val="bottom"/>
            <w:hideMark/>
          </w:tcPr>
          <w:p w14:paraId="5EC106B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500" w:type="dxa"/>
            <w:gridSpan w:val="4"/>
            <w:tcBorders>
              <w:top w:val="nil"/>
              <w:left w:val="nil"/>
              <w:bottom w:val="nil"/>
              <w:right w:val="nil"/>
            </w:tcBorders>
            <w:shd w:val="clear" w:color="000000" w:fill="CCFFFF"/>
            <w:noWrap/>
            <w:vAlign w:val="bottom"/>
            <w:hideMark/>
          </w:tcPr>
          <w:p w14:paraId="2E2AE74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noncurrent assets </w:t>
            </w:r>
          </w:p>
        </w:tc>
        <w:tc>
          <w:tcPr>
            <w:tcW w:w="2293" w:type="dxa"/>
            <w:tcBorders>
              <w:top w:val="nil"/>
              <w:left w:val="nil"/>
              <w:bottom w:val="single" w:sz="4" w:space="0" w:color="auto"/>
              <w:right w:val="nil"/>
            </w:tcBorders>
            <w:shd w:val="clear" w:color="000000" w:fill="CCFFFF"/>
            <w:noWrap/>
            <w:vAlign w:val="bottom"/>
          </w:tcPr>
          <w:p w14:paraId="3EF872DA" w14:textId="3D309303"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000000" w:fill="CCFFFF"/>
            <w:noWrap/>
            <w:vAlign w:val="bottom"/>
          </w:tcPr>
          <w:p w14:paraId="5C5AF507" w14:textId="75E7157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628C4DB" w14:textId="77777777" w:rsidTr="000741BD">
        <w:trPr>
          <w:trHeight w:val="306"/>
        </w:trPr>
        <w:tc>
          <w:tcPr>
            <w:tcW w:w="5792" w:type="dxa"/>
            <w:gridSpan w:val="5"/>
            <w:tcBorders>
              <w:top w:val="nil"/>
              <w:left w:val="nil"/>
              <w:bottom w:val="nil"/>
              <w:right w:val="nil"/>
            </w:tcBorders>
            <w:shd w:val="clear" w:color="auto" w:fill="auto"/>
            <w:noWrap/>
            <w:vAlign w:val="bottom"/>
            <w:hideMark/>
          </w:tcPr>
          <w:p w14:paraId="766BF73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assets </w:t>
            </w:r>
          </w:p>
        </w:tc>
        <w:tc>
          <w:tcPr>
            <w:tcW w:w="2293" w:type="dxa"/>
            <w:tcBorders>
              <w:top w:val="nil"/>
              <w:left w:val="nil"/>
              <w:bottom w:val="single" w:sz="4" w:space="0" w:color="auto"/>
              <w:right w:val="nil"/>
            </w:tcBorders>
            <w:shd w:val="clear" w:color="auto" w:fill="auto"/>
            <w:noWrap/>
            <w:vAlign w:val="bottom"/>
          </w:tcPr>
          <w:p w14:paraId="26F6FF00" w14:textId="7B0359A2" w:rsidR="00982915" w:rsidRDefault="00982915">
            <w:pPr>
              <w:spacing w:after="0" w:line="0" w:lineRule="atLeast"/>
              <w:jc w:val="right"/>
              <w:rPr>
                <w:rFonts w:ascii="Arial" w:eastAsia="Times New Roman" w:hAnsi="Arial" w:cs="Arial"/>
                <w:color w:val="000000"/>
                <w:sz w:val="18"/>
                <w:szCs w:val="18"/>
                <w:lang w:eastAsia="zh-CN"/>
              </w:rPr>
            </w:pPr>
          </w:p>
        </w:tc>
        <w:tc>
          <w:tcPr>
            <w:tcW w:w="2308" w:type="dxa"/>
            <w:tcBorders>
              <w:top w:val="nil"/>
              <w:left w:val="nil"/>
              <w:bottom w:val="single" w:sz="4" w:space="0" w:color="auto"/>
              <w:right w:val="nil"/>
            </w:tcBorders>
            <w:shd w:val="clear" w:color="auto" w:fill="auto"/>
            <w:noWrap/>
            <w:vAlign w:val="bottom"/>
          </w:tcPr>
          <w:p w14:paraId="6CA16190" w14:textId="0B84A6E5" w:rsidR="00982915" w:rsidRDefault="00982915">
            <w:pPr>
              <w:spacing w:after="0" w:line="0" w:lineRule="atLeast"/>
              <w:jc w:val="right"/>
              <w:rPr>
                <w:rFonts w:ascii="Arial" w:eastAsia="Times New Roman" w:hAnsi="Arial" w:cs="Arial"/>
                <w:color w:val="000000"/>
                <w:sz w:val="18"/>
                <w:szCs w:val="18"/>
                <w:lang w:eastAsia="zh-CN"/>
              </w:rPr>
            </w:pPr>
          </w:p>
        </w:tc>
      </w:tr>
    </w:tbl>
    <w:p w14:paraId="6514BCA1" w14:textId="77777777" w:rsidR="00982915" w:rsidRDefault="00982915">
      <w:pPr>
        <w:rPr>
          <w:rFonts w:ascii="Arial" w:hAnsi="Arial" w:cs="Arial"/>
          <w:b/>
          <w:bCs/>
          <w:sz w:val="18"/>
          <w:szCs w:val="18"/>
        </w:rPr>
      </w:pPr>
    </w:p>
    <w:p w14:paraId="679559BB" w14:textId="77777777" w:rsidR="00982915" w:rsidRDefault="00EB6F73">
      <w:pPr>
        <w:rPr>
          <w:rFonts w:ascii="Arial" w:hAnsi="Arial" w:cs="Arial"/>
          <w:b/>
          <w:bCs/>
          <w:szCs w:val="22"/>
        </w:rPr>
      </w:pPr>
      <w:r>
        <w:rPr>
          <w:rFonts w:ascii="Arial" w:hAnsi="Arial" w:cs="Arial"/>
          <w:b/>
          <w:bCs/>
          <w:szCs w:val="22"/>
        </w:rPr>
        <w:br w:type="page"/>
      </w:r>
    </w:p>
    <w:p w14:paraId="67A054B1" w14:textId="77777777" w:rsidR="00982915" w:rsidRDefault="00982915">
      <w:pPr>
        <w:rPr>
          <w:rFonts w:ascii="Arial" w:hAnsi="Arial" w:cs="Arial"/>
          <w:b/>
          <w:bCs/>
          <w:szCs w:val="22"/>
        </w:rPr>
      </w:pPr>
    </w:p>
    <w:tbl>
      <w:tblPr>
        <w:tblW w:w="10185" w:type="dxa"/>
        <w:tblInd w:w="93" w:type="dxa"/>
        <w:tblLook w:val="04A0" w:firstRow="1" w:lastRow="0" w:firstColumn="1" w:lastColumn="0" w:noHBand="0" w:noVBand="1"/>
      </w:tblPr>
      <w:tblGrid>
        <w:gridCol w:w="294"/>
        <w:gridCol w:w="294"/>
        <w:gridCol w:w="5099"/>
        <w:gridCol w:w="2249"/>
        <w:gridCol w:w="2249"/>
      </w:tblGrid>
      <w:tr w:rsidR="00982915" w14:paraId="42C1718A" w14:textId="77777777">
        <w:trPr>
          <w:trHeight w:val="135"/>
        </w:trPr>
        <w:tc>
          <w:tcPr>
            <w:tcW w:w="5687" w:type="dxa"/>
            <w:gridSpan w:val="3"/>
            <w:tcBorders>
              <w:top w:val="nil"/>
              <w:left w:val="nil"/>
              <w:bottom w:val="single" w:sz="12" w:space="0" w:color="auto"/>
              <w:right w:val="nil"/>
            </w:tcBorders>
            <w:shd w:val="clear" w:color="auto" w:fill="auto"/>
            <w:noWrap/>
            <w:vAlign w:val="bottom"/>
            <w:hideMark/>
          </w:tcPr>
          <w:p w14:paraId="0CDDEA8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249" w:type="dxa"/>
            <w:tcBorders>
              <w:top w:val="nil"/>
              <w:left w:val="nil"/>
              <w:bottom w:val="single" w:sz="12" w:space="0" w:color="auto"/>
              <w:right w:val="nil"/>
            </w:tcBorders>
            <w:shd w:val="clear" w:color="auto" w:fill="auto"/>
            <w:noWrap/>
            <w:vAlign w:val="bottom"/>
            <w:hideMark/>
          </w:tcPr>
          <w:p w14:paraId="387A5FC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249" w:type="dxa"/>
            <w:tcBorders>
              <w:top w:val="nil"/>
              <w:left w:val="nil"/>
              <w:bottom w:val="single" w:sz="12" w:space="0" w:color="auto"/>
              <w:right w:val="nil"/>
            </w:tcBorders>
            <w:shd w:val="clear" w:color="auto" w:fill="auto"/>
            <w:noWrap/>
            <w:vAlign w:val="bottom"/>
            <w:hideMark/>
          </w:tcPr>
          <w:p w14:paraId="49B869D8" w14:textId="77777777" w:rsidR="00982915" w:rsidRDefault="00EB6F73">
            <w:pPr>
              <w:spacing w:after="0" w:line="0" w:lineRule="atLeast"/>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(Millions of yen)</w:t>
            </w:r>
          </w:p>
        </w:tc>
      </w:tr>
      <w:tr w:rsidR="00982915" w14:paraId="66FFD271" w14:textId="77777777">
        <w:trPr>
          <w:trHeight w:val="87"/>
        </w:trPr>
        <w:tc>
          <w:tcPr>
            <w:tcW w:w="5687" w:type="dxa"/>
            <w:gridSpan w:val="3"/>
            <w:tcBorders>
              <w:top w:val="single" w:sz="12" w:space="0" w:color="auto"/>
              <w:left w:val="nil"/>
              <w:bottom w:val="nil"/>
              <w:right w:val="nil"/>
            </w:tcBorders>
            <w:shd w:val="clear" w:color="auto" w:fill="auto"/>
            <w:noWrap/>
            <w:vAlign w:val="center"/>
            <w:hideMark/>
          </w:tcPr>
          <w:p w14:paraId="122D8E75" w14:textId="77777777" w:rsidR="00982915" w:rsidRDefault="00982915">
            <w:pPr>
              <w:spacing w:after="0" w:line="0" w:lineRule="atLeast"/>
              <w:jc w:val="center"/>
              <w:rPr>
                <w:rFonts w:ascii="Arial" w:eastAsia="Times New Roman" w:hAnsi="Arial" w:cs="Arial"/>
                <w:color w:val="000000"/>
                <w:sz w:val="18"/>
                <w:szCs w:val="18"/>
                <w:lang w:eastAsia="zh-CN"/>
              </w:rPr>
            </w:pPr>
          </w:p>
        </w:tc>
        <w:tc>
          <w:tcPr>
            <w:tcW w:w="2249" w:type="dxa"/>
            <w:vMerge w:val="restart"/>
            <w:tcBorders>
              <w:top w:val="single" w:sz="12" w:space="0" w:color="auto"/>
              <w:left w:val="nil"/>
              <w:right w:val="nil"/>
            </w:tcBorders>
            <w:shd w:val="clear" w:color="auto" w:fill="auto"/>
            <w:noWrap/>
            <w:vAlign w:val="center"/>
            <w:hideMark/>
          </w:tcPr>
          <w:p w14:paraId="78BED161"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FY2014</w:t>
            </w:r>
          </w:p>
          <w:p w14:paraId="4B735CE4"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(As of Dec 31, 2014)</w:t>
            </w:r>
          </w:p>
        </w:tc>
        <w:tc>
          <w:tcPr>
            <w:tcW w:w="2249" w:type="dxa"/>
            <w:vMerge w:val="restart"/>
            <w:tcBorders>
              <w:top w:val="single" w:sz="12" w:space="0" w:color="auto"/>
              <w:left w:val="nil"/>
              <w:right w:val="nil"/>
            </w:tcBorders>
            <w:shd w:val="clear" w:color="auto" w:fill="auto"/>
            <w:noWrap/>
            <w:vAlign w:val="center"/>
            <w:hideMark/>
          </w:tcPr>
          <w:p w14:paraId="23BF6AFA"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3Q FY2015</w:t>
            </w:r>
          </w:p>
          <w:p w14:paraId="0177ABA0"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(As of </w:t>
            </w:r>
            <w:proofErr w:type="gramStart"/>
            <w:r>
              <w:rPr>
                <w:rFonts w:ascii="Arial" w:eastAsia="Times New Roman" w:hAnsi="Arial" w:cs="Arial"/>
                <w:color w:val="000000"/>
                <w:sz w:val="18"/>
                <w:szCs w:val="18"/>
                <w:lang w:eastAsia="zh-CN"/>
              </w:rPr>
              <w:t>Sept.</w:t>
            </w:r>
            <w:proofErr w:type="gramEnd"/>
            <w:r>
              <w:rPr>
                <w:rFonts w:ascii="Arial" w:eastAsia="Times New Roman" w:hAnsi="Arial" w:cs="Arial"/>
                <w:color w:val="000000"/>
                <w:sz w:val="18"/>
                <w:szCs w:val="18"/>
                <w:lang w:eastAsia="zh-CN"/>
              </w:rPr>
              <w:t>30, 2015)</w:t>
            </w:r>
          </w:p>
        </w:tc>
      </w:tr>
      <w:tr w:rsidR="00982915" w14:paraId="5FD3367A" w14:textId="77777777">
        <w:trPr>
          <w:trHeight w:val="464"/>
        </w:trPr>
        <w:tc>
          <w:tcPr>
            <w:tcW w:w="5687" w:type="dxa"/>
            <w:gridSpan w:val="3"/>
            <w:tcBorders>
              <w:top w:val="nil"/>
              <w:left w:val="nil"/>
              <w:bottom w:val="single" w:sz="4" w:space="0" w:color="auto"/>
              <w:right w:val="nil"/>
            </w:tcBorders>
            <w:shd w:val="clear" w:color="auto" w:fill="auto"/>
            <w:noWrap/>
            <w:vAlign w:val="center"/>
            <w:hideMark/>
          </w:tcPr>
          <w:p w14:paraId="7F393787"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249" w:type="dxa"/>
            <w:vMerge/>
            <w:tcBorders>
              <w:left w:val="nil"/>
              <w:bottom w:val="single" w:sz="4" w:space="0" w:color="auto"/>
              <w:right w:val="nil"/>
            </w:tcBorders>
            <w:shd w:val="clear" w:color="auto" w:fill="auto"/>
            <w:noWrap/>
            <w:vAlign w:val="center"/>
            <w:hideMark/>
          </w:tcPr>
          <w:p w14:paraId="511432B9" w14:textId="77777777" w:rsidR="00982915" w:rsidRDefault="00982915">
            <w:pPr>
              <w:spacing w:after="0" w:line="0" w:lineRule="atLeast"/>
              <w:jc w:val="center"/>
              <w:rPr>
                <w:rFonts w:ascii="Arial" w:eastAsia="Times New Roman" w:hAnsi="Arial" w:cs="Arial"/>
                <w:color w:val="000000"/>
                <w:sz w:val="18"/>
                <w:szCs w:val="18"/>
                <w:lang w:eastAsia="zh-CN"/>
              </w:rPr>
            </w:pPr>
          </w:p>
        </w:tc>
        <w:tc>
          <w:tcPr>
            <w:tcW w:w="2249" w:type="dxa"/>
            <w:vMerge/>
            <w:tcBorders>
              <w:left w:val="nil"/>
              <w:bottom w:val="single" w:sz="4" w:space="0" w:color="auto"/>
              <w:right w:val="nil"/>
            </w:tcBorders>
            <w:shd w:val="clear" w:color="auto" w:fill="auto"/>
            <w:noWrap/>
            <w:vAlign w:val="center"/>
            <w:hideMark/>
          </w:tcPr>
          <w:p w14:paraId="0EEAC6A4" w14:textId="77777777" w:rsidR="00982915" w:rsidRDefault="00982915">
            <w:pPr>
              <w:spacing w:after="0" w:line="0" w:lineRule="atLeast"/>
              <w:jc w:val="center"/>
              <w:rPr>
                <w:rFonts w:ascii="Arial" w:eastAsia="Times New Roman" w:hAnsi="Arial" w:cs="Arial"/>
                <w:color w:val="000000"/>
                <w:sz w:val="18"/>
                <w:szCs w:val="18"/>
                <w:lang w:eastAsia="zh-CN"/>
              </w:rPr>
            </w:pPr>
          </w:p>
        </w:tc>
      </w:tr>
      <w:tr w:rsidR="00982915" w14:paraId="4CCB3D23" w14:textId="77777777">
        <w:trPr>
          <w:trHeight w:val="301"/>
        </w:trPr>
        <w:tc>
          <w:tcPr>
            <w:tcW w:w="5687" w:type="dxa"/>
            <w:gridSpan w:val="3"/>
            <w:tcBorders>
              <w:top w:val="nil"/>
              <w:left w:val="nil"/>
              <w:bottom w:val="nil"/>
              <w:right w:val="nil"/>
            </w:tcBorders>
            <w:shd w:val="clear" w:color="000000" w:fill="CCFFFF"/>
            <w:noWrap/>
            <w:vAlign w:val="bottom"/>
            <w:hideMark/>
          </w:tcPr>
          <w:p w14:paraId="44DDC94D" w14:textId="77777777" w:rsidR="00982915" w:rsidRDefault="00EB6F73">
            <w:pPr>
              <w:spacing w:after="0" w:line="0" w:lineRule="atLeast"/>
              <w:rPr>
                <w:rFonts w:ascii="Arial" w:eastAsia="Times New Roman" w:hAnsi="Arial" w:cs="Arial"/>
                <w:b/>
                <w:color w:val="000000"/>
                <w:sz w:val="18"/>
                <w:szCs w:val="18"/>
                <w:lang w:eastAsia="zh-CN"/>
              </w:rPr>
            </w:pPr>
            <w:r>
              <w:rPr>
                <w:rFonts w:ascii="Arial" w:eastAsia="Times New Roman" w:hAnsi="Arial" w:cs="Arial"/>
                <w:b/>
                <w:color w:val="000000"/>
                <w:sz w:val="18"/>
                <w:szCs w:val="18"/>
                <w:lang w:eastAsia="zh-CN"/>
              </w:rPr>
              <w:t>LIABILITIES</w:t>
            </w:r>
          </w:p>
        </w:tc>
        <w:tc>
          <w:tcPr>
            <w:tcW w:w="2249" w:type="dxa"/>
            <w:tcBorders>
              <w:top w:val="nil"/>
              <w:left w:val="nil"/>
              <w:bottom w:val="nil"/>
              <w:right w:val="nil"/>
            </w:tcBorders>
            <w:shd w:val="clear" w:color="000000" w:fill="CCFFFF"/>
            <w:noWrap/>
            <w:vAlign w:val="bottom"/>
            <w:hideMark/>
          </w:tcPr>
          <w:p w14:paraId="0B8066CB"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249" w:type="dxa"/>
            <w:tcBorders>
              <w:top w:val="nil"/>
              <w:left w:val="nil"/>
              <w:bottom w:val="nil"/>
              <w:right w:val="nil"/>
            </w:tcBorders>
            <w:shd w:val="clear" w:color="000000" w:fill="CCFFFF"/>
            <w:noWrap/>
            <w:vAlign w:val="bottom"/>
            <w:hideMark/>
          </w:tcPr>
          <w:p w14:paraId="57F428B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982915" w14:paraId="392C996A" w14:textId="77777777">
        <w:trPr>
          <w:trHeight w:val="301"/>
        </w:trPr>
        <w:tc>
          <w:tcPr>
            <w:tcW w:w="294" w:type="dxa"/>
            <w:tcBorders>
              <w:top w:val="nil"/>
              <w:left w:val="nil"/>
              <w:bottom w:val="nil"/>
              <w:right w:val="nil"/>
            </w:tcBorders>
            <w:shd w:val="clear" w:color="auto" w:fill="auto"/>
            <w:noWrap/>
            <w:vAlign w:val="bottom"/>
            <w:hideMark/>
          </w:tcPr>
          <w:p w14:paraId="2BF55231" w14:textId="77777777" w:rsidR="00982915" w:rsidRDefault="00982915">
            <w:pPr>
              <w:spacing w:after="0" w:line="0" w:lineRule="atLeast"/>
              <w:rPr>
                <w:rFonts w:ascii="Arial" w:eastAsia="Times New Roman" w:hAnsi="Arial" w:cs="Arial"/>
                <w:color w:val="000000"/>
                <w:sz w:val="18"/>
                <w:szCs w:val="18"/>
                <w:lang w:eastAsia="zh-CN"/>
              </w:rPr>
            </w:pPr>
          </w:p>
        </w:tc>
        <w:tc>
          <w:tcPr>
            <w:tcW w:w="5393" w:type="dxa"/>
            <w:gridSpan w:val="2"/>
            <w:tcBorders>
              <w:top w:val="nil"/>
              <w:left w:val="nil"/>
              <w:bottom w:val="nil"/>
              <w:right w:val="nil"/>
            </w:tcBorders>
            <w:shd w:val="clear" w:color="auto" w:fill="auto"/>
            <w:noWrap/>
            <w:vAlign w:val="bottom"/>
            <w:hideMark/>
          </w:tcPr>
          <w:p w14:paraId="7D5ED98B"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Current liabilities</w:t>
            </w:r>
          </w:p>
        </w:tc>
        <w:tc>
          <w:tcPr>
            <w:tcW w:w="2249" w:type="dxa"/>
            <w:tcBorders>
              <w:top w:val="nil"/>
              <w:left w:val="nil"/>
              <w:bottom w:val="nil"/>
              <w:right w:val="nil"/>
            </w:tcBorders>
            <w:shd w:val="clear" w:color="auto" w:fill="auto"/>
            <w:noWrap/>
            <w:vAlign w:val="bottom"/>
            <w:hideMark/>
          </w:tcPr>
          <w:p w14:paraId="3ACCAF18" w14:textId="77777777" w:rsidR="00982915" w:rsidRDefault="00982915">
            <w:pPr>
              <w:spacing w:after="0" w:line="0" w:lineRule="atLeas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hideMark/>
          </w:tcPr>
          <w:p w14:paraId="59660076" w14:textId="77777777" w:rsidR="00982915" w:rsidRDefault="00982915">
            <w:pPr>
              <w:spacing w:after="0" w:line="0" w:lineRule="atLeast"/>
              <w:rPr>
                <w:rFonts w:ascii="Arial" w:eastAsia="Times New Roman" w:hAnsi="Arial" w:cs="Arial"/>
                <w:color w:val="000000"/>
                <w:sz w:val="18"/>
                <w:szCs w:val="18"/>
                <w:lang w:eastAsia="zh-CN"/>
              </w:rPr>
            </w:pPr>
          </w:p>
        </w:tc>
      </w:tr>
      <w:tr w:rsidR="00982915" w14:paraId="695BD45D" w14:textId="77777777" w:rsidTr="000741BD">
        <w:trPr>
          <w:trHeight w:val="301"/>
        </w:trPr>
        <w:tc>
          <w:tcPr>
            <w:tcW w:w="294" w:type="dxa"/>
            <w:tcBorders>
              <w:top w:val="nil"/>
              <w:left w:val="nil"/>
              <w:bottom w:val="nil"/>
              <w:right w:val="nil"/>
            </w:tcBorders>
            <w:shd w:val="clear" w:color="000000" w:fill="CCFFFF"/>
            <w:noWrap/>
            <w:vAlign w:val="bottom"/>
            <w:hideMark/>
          </w:tcPr>
          <w:p w14:paraId="7F065C9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321AC19B"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47822C5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Notes and accounts </w:t>
            </w:r>
            <w:proofErr w:type="gramStart"/>
            <w:r>
              <w:rPr>
                <w:rFonts w:ascii="Arial" w:eastAsia="Times New Roman" w:hAnsi="Arial" w:cs="Arial"/>
                <w:color w:val="000000"/>
                <w:sz w:val="18"/>
                <w:szCs w:val="18"/>
                <w:lang w:eastAsia="zh-CN"/>
              </w:rPr>
              <w:t>payable-trade</w:t>
            </w:r>
            <w:proofErr w:type="gramEnd"/>
            <w:r>
              <w:rPr>
                <w:rFonts w:ascii="Arial" w:eastAsia="Times New Roman" w:hAnsi="Arial" w:cs="Arial"/>
                <w:color w:val="000000"/>
                <w:sz w:val="18"/>
                <w:szCs w:val="18"/>
                <w:lang w:eastAsia="zh-CN"/>
              </w:rPr>
              <w:t xml:space="preserve"> </w:t>
            </w:r>
          </w:p>
        </w:tc>
        <w:tc>
          <w:tcPr>
            <w:tcW w:w="2249" w:type="dxa"/>
            <w:tcBorders>
              <w:top w:val="nil"/>
              <w:left w:val="nil"/>
              <w:bottom w:val="nil"/>
              <w:right w:val="nil"/>
            </w:tcBorders>
            <w:shd w:val="clear" w:color="000000" w:fill="CCFFFF"/>
            <w:noWrap/>
            <w:vAlign w:val="bottom"/>
          </w:tcPr>
          <w:p w14:paraId="67EC58C0" w14:textId="73A22C0A"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7115B8B4" w14:textId="4A928FC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C81A21C" w14:textId="77777777" w:rsidTr="000741BD">
        <w:trPr>
          <w:trHeight w:val="301"/>
        </w:trPr>
        <w:tc>
          <w:tcPr>
            <w:tcW w:w="294" w:type="dxa"/>
            <w:tcBorders>
              <w:top w:val="nil"/>
              <w:left w:val="nil"/>
              <w:bottom w:val="nil"/>
              <w:right w:val="nil"/>
            </w:tcBorders>
            <w:shd w:val="clear" w:color="auto" w:fill="auto"/>
            <w:noWrap/>
            <w:vAlign w:val="bottom"/>
            <w:hideMark/>
          </w:tcPr>
          <w:p w14:paraId="02EEE11C"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213EA32D"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7B06AB1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Current portion of bonds </w:t>
            </w:r>
          </w:p>
        </w:tc>
        <w:tc>
          <w:tcPr>
            <w:tcW w:w="2249" w:type="dxa"/>
            <w:tcBorders>
              <w:top w:val="nil"/>
              <w:left w:val="nil"/>
              <w:bottom w:val="nil"/>
              <w:right w:val="nil"/>
            </w:tcBorders>
            <w:shd w:val="clear" w:color="auto" w:fill="auto"/>
            <w:noWrap/>
            <w:vAlign w:val="bottom"/>
          </w:tcPr>
          <w:p w14:paraId="49DDCB72" w14:textId="6DE240A8"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5CD2C2A2" w14:textId="2F8073AB"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36CACB7" w14:textId="77777777" w:rsidTr="000741BD">
        <w:trPr>
          <w:trHeight w:val="301"/>
        </w:trPr>
        <w:tc>
          <w:tcPr>
            <w:tcW w:w="294" w:type="dxa"/>
            <w:tcBorders>
              <w:top w:val="nil"/>
              <w:left w:val="nil"/>
              <w:bottom w:val="nil"/>
              <w:right w:val="nil"/>
            </w:tcBorders>
            <w:shd w:val="clear" w:color="000000" w:fill="CCFFFF"/>
            <w:noWrap/>
            <w:vAlign w:val="bottom"/>
            <w:hideMark/>
          </w:tcPr>
          <w:p w14:paraId="3434DD2C"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6B15A20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37F58D2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Short-term loans payable </w:t>
            </w:r>
          </w:p>
        </w:tc>
        <w:tc>
          <w:tcPr>
            <w:tcW w:w="2249" w:type="dxa"/>
            <w:tcBorders>
              <w:top w:val="nil"/>
              <w:left w:val="nil"/>
              <w:bottom w:val="nil"/>
              <w:right w:val="nil"/>
            </w:tcBorders>
            <w:shd w:val="clear" w:color="000000" w:fill="CCFFFF"/>
            <w:noWrap/>
            <w:vAlign w:val="bottom"/>
          </w:tcPr>
          <w:p w14:paraId="623419CE" w14:textId="32DF849C"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03CEE67B" w14:textId="1BD76F8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770555A" w14:textId="77777777" w:rsidTr="000741BD">
        <w:trPr>
          <w:trHeight w:val="301"/>
        </w:trPr>
        <w:tc>
          <w:tcPr>
            <w:tcW w:w="294" w:type="dxa"/>
            <w:tcBorders>
              <w:top w:val="nil"/>
              <w:left w:val="nil"/>
              <w:bottom w:val="nil"/>
              <w:right w:val="nil"/>
            </w:tcBorders>
            <w:shd w:val="clear" w:color="auto" w:fill="auto"/>
            <w:noWrap/>
            <w:vAlign w:val="bottom"/>
            <w:hideMark/>
          </w:tcPr>
          <w:p w14:paraId="6B2AAC83"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5F291B18"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47014B26"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Current portion of long-term loans payable </w:t>
            </w:r>
          </w:p>
        </w:tc>
        <w:tc>
          <w:tcPr>
            <w:tcW w:w="2249" w:type="dxa"/>
            <w:tcBorders>
              <w:top w:val="nil"/>
              <w:left w:val="nil"/>
              <w:bottom w:val="nil"/>
              <w:right w:val="nil"/>
            </w:tcBorders>
            <w:shd w:val="clear" w:color="auto" w:fill="auto"/>
            <w:noWrap/>
            <w:vAlign w:val="bottom"/>
          </w:tcPr>
          <w:p w14:paraId="17ACCC12" w14:textId="49F7C7D7"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5B1D8B28" w14:textId="43EF2F56"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9F37C5A" w14:textId="77777777" w:rsidTr="000741BD">
        <w:trPr>
          <w:trHeight w:val="301"/>
        </w:trPr>
        <w:tc>
          <w:tcPr>
            <w:tcW w:w="294" w:type="dxa"/>
            <w:tcBorders>
              <w:top w:val="nil"/>
              <w:left w:val="nil"/>
              <w:bottom w:val="nil"/>
              <w:right w:val="nil"/>
            </w:tcBorders>
            <w:shd w:val="clear" w:color="000000" w:fill="CCFFFF"/>
            <w:noWrap/>
            <w:vAlign w:val="bottom"/>
            <w:hideMark/>
          </w:tcPr>
          <w:p w14:paraId="4B870CAD"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16FE1E6B"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2DE1B2FB"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Income taxes payable </w:t>
            </w:r>
          </w:p>
        </w:tc>
        <w:tc>
          <w:tcPr>
            <w:tcW w:w="2249" w:type="dxa"/>
            <w:tcBorders>
              <w:top w:val="nil"/>
              <w:left w:val="nil"/>
              <w:bottom w:val="nil"/>
              <w:right w:val="nil"/>
            </w:tcBorders>
            <w:shd w:val="clear" w:color="000000" w:fill="CCFFFF"/>
            <w:noWrap/>
            <w:vAlign w:val="bottom"/>
          </w:tcPr>
          <w:p w14:paraId="469C254B" w14:textId="246FEE64"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6F4F8D7A" w14:textId="41BA5587"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B42E9E4" w14:textId="77777777" w:rsidTr="000741BD">
        <w:trPr>
          <w:trHeight w:val="301"/>
        </w:trPr>
        <w:tc>
          <w:tcPr>
            <w:tcW w:w="294" w:type="dxa"/>
            <w:tcBorders>
              <w:top w:val="nil"/>
              <w:left w:val="nil"/>
              <w:bottom w:val="nil"/>
              <w:right w:val="nil"/>
            </w:tcBorders>
            <w:shd w:val="clear" w:color="auto" w:fill="auto"/>
            <w:noWrap/>
            <w:vAlign w:val="bottom"/>
            <w:hideMark/>
          </w:tcPr>
          <w:p w14:paraId="6CF66C6C"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44AA625F"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578CA92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Provision for bonuses</w:t>
            </w:r>
          </w:p>
        </w:tc>
        <w:tc>
          <w:tcPr>
            <w:tcW w:w="2249" w:type="dxa"/>
            <w:tcBorders>
              <w:top w:val="nil"/>
              <w:left w:val="nil"/>
              <w:bottom w:val="nil"/>
              <w:right w:val="nil"/>
            </w:tcBorders>
            <w:shd w:val="clear" w:color="auto" w:fill="auto"/>
            <w:noWrap/>
            <w:vAlign w:val="bottom"/>
          </w:tcPr>
          <w:p w14:paraId="4A424AC8" w14:textId="64611840"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6C3BC008" w14:textId="75193DB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657732FB" w14:textId="77777777" w:rsidTr="000741BD">
        <w:trPr>
          <w:trHeight w:val="301"/>
        </w:trPr>
        <w:tc>
          <w:tcPr>
            <w:tcW w:w="294" w:type="dxa"/>
            <w:tcBorders>
              <w:top w:val="nil"/>
              <w:left w:val="nil"/>
              <w:bottom w:val="nil"/>
              <w:right w:val="nil"/>
            </w:tcBorders>
            <w:shd w:val="clear" w:color="000000" w:fill="CCFFFF"/>
            <w:noWrap/>
            <w:vAlign w:val="bottom"/>
            <w:hideMark/>
          </w:tcPr>
          <w:p w14:paraId="6113BAC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4CF0394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36D3523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Other </w:t>
            </w:r>
          </w:p>
        </w:tc>
        <w:tc>
          <w:tcPr>
            <w:tcW w:w="2249" w:type="dxa"/>
            <w:tcBorders>
              <w:top w:val="nil"/>
              <w:left w:val="nil"/>
              <w:bottom w:val="single" w:sz="4" w:space="0" w:color="auto"/>
              <w:right w:val="nil"/>
            </w:tcBorders>
            <w:shd w:val="clear" w:color="000000" w:fill="CCFFFF"/>
            <w:noWrap/>
            <w:vAlign w:val="bottom"/>
          </w:tcPr>
          <w:p w14:paraId="6405922B" w14:textId="3218B92E"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000000" w:fill="CCFFFF"/>
            <w:noWrap/>
            <w:vAlign w:val="bottom"/>
          </w:tcPr>
          <w:p w14:paraId="44C5706F" w14:textId="7BEC44C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0D4102B" w14:textId="77777777" w:rsidTr="000741BD">
        <w:trPr>
          <w:trHeight w:val="301"/>
        </w:trPr>
        <w:tc>
          <w:tcPr>
            <w:tcW w:w="294" w:type="dxa"/>
            <w:tcBorders>
              <w:top w:val="nil"/>
              <w:left w:val="nil"/>
              <w:bottom w:val="nil"/>
              <w:right w:val="nil"/>
            </w:tcBorders>
            <w:shd w:val="clear" w:color="auto" w:fill="auto"/>
            <w:noWrap/>
            <w:vAlign w:val="bottom"/>
            <w:hideMark/>
          </w:tcPr>
          <w:p w14:paraId="28EBAD2A"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745EDFE6"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76C06AD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current liabilities</w:t>
            </w:r>
          </w:p>
        </w:tc>
        <w:tc>
          <w:tcPr>
            <w:tcW w:w="2249" w:type="dxa"/>
            <w:tcBorders>
              <w:top w:val="nil"/>
              <w:left w:val="nil"/>
              <w:bottom w:val="single" w:sz="4" w:space="0" w:color="auto"/>
              <w:right w:val="nil"/>
            </w:tcBorders>
            <w:shd w:val="clear" w:color="auto" w:fill="auto"/>
            <w:noWrap/>
            <w:vAlign w:val="bottom"/>
          </w:tcPr>
          <w:p w14:paraId="4ED0D1A4" w14:textId="7824EC12"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auto" w:fill="auto"/>
            <w:noWrap/>
            <w:vAlign w:val="bottom"/>
          </w:tcPr>
          <w:p w14:paraId="3C075852" w14:textId="7984D679"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16911A5" w14:textId="77777777" w:rsidTr="000741BD">
        <w:trPr>
          <w:trHeight w:val="301"/>
        </w:trPr>
        <w:tc>
          <w:tcPr>
            <w:tcW w:w="294" w:type="dxa"/>
            <w:tcBorders>
              <w:top w:val="nil"/>
              <w:left w:val="nil"/>
              <w:bottom w:val="nil"/>
              <w:right w:val="nil"/>
            </w:tcBorders>
            <w:shd w:val="clear" w:color="000000" w:fill="CCFFFF"/>
            <w:noWrap/>
            <w:vAlign w:val="bottom"/>
            <w:hideMark/>
          </w:tcPr>
          <w:p w14:paraId="627CF4F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393" w:type="dxa"/>
            <w:gridSpan w:val="2"/>
            <w:tcBorders>
              <w:top w:val="nil"/>
              <w:left w:val="nil"/>
              <w:bottom w:val="nil"/>
              <w:right w:val="nil"/>
            </w:tcBorders>
            <w:shd w:val="clear" w:color="000000" w:fill="CCFFFF"/>
            <w:noWrap/>
            <w:vAlign w:val="bottom"/>
            <w:hideMark/>
          </w:tcPr>
          <w:p w14:paraId="6ECDD20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Noncurrent liabilities</w:t>
            </w:r>
          </w:p>
        </w:tc>
        <w:tc>
          <w:tcPr>
            <w:tcW w:w="2249" w:type="dxa"/>
            <w:tcBorders>
              <w:top w:val="nil"/>
              <w:left w:val="nil"/>
              <w:bottom w:val="nil"/>
              <w:right w:val="nil"/>
            </w:tcBorders>
            <w:shd w:val="clear" w:color="000000" w:fill="CCFFFF"/>
            <w:noWrap/>
            <w:vAlign w:val="bottom"/>
          </w:tcPr>
          <w:p w14:paraId="68FEAA2F" w14:textId="6D9F567F" w:rsidR="00982915" w:rsidRDefault="00982915">
            <w:pPr>
              <w:spacing w:after="0" w:line="0" w:lineRule="atLeas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0CD3B8E6" w14:textId="3B816227" w:rsidR="00982915" w:rsidRDefault="00982915">
            <w:pPr>
              <w:spacing w:after="0" w:line="0" w:lineRule="atLeast"/>
              <w:rPr>
                <w:rFonts w:ascii="Arial" w:eastAsia="Times New Roman" w:hAnsi="Arial" w:cs="Arial"/>
                <w:color w:val="000000"/>
                <w:sz w:val="18"/>
                <w:szCs w:val="18"/>
                <w:lang w:eastAsia="zh-CN"/>
              </w:rPr>
            </w:pPr>
          </w:p>
        </w:tc>
      </w:tr>
      <w:tr w:rsidR="00982915" w14:paraId="05813226" w14:textId="77777777" w:rsidTr="000741BD">
        <w:trPr>
          <w:trHeight w:val="301"/>
        </w:trPr>
        <w:tc>
          <w:tcPr>
            <w:tcW w:w="294" w:type="dxa"/>
            <w:tcBorders>
              <w:top w:val="nil"/>
              <w:left w:val="nil"/>
              <w:bottom w:val="nil"/>
              <w:right w:val="nil"/>
            </w:tcBorders>
            <w:shd w:val="clear" w:color="auto" w:fill="auto"/>
            <w:noWrap/>
            <w:vAlign w:val="bottom"/>
            <w:hideMark/>
          </w:tcPr>
          <w:p w14:paraId="26D6A25D"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131F7ED6"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3A51A24C"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Bonds payable</w:t>
            </w:r>
          </w:p>
        </w:tc>
        <w:tc>
          <w:tcPr>
            <w:tcW w:w="2249" w:type="dxa"/>
            <w:tcBorders>
              <w:top w:val="nil"/>
              <w:left w:val="nil"/>
              <w:bottom w:val="nil"/>
              <w:right w:val="nil"/>
            </w:tcBorders>
            <w:shd w:val="clear" w:color="auto" w:fill="auto"/>
            <w:noWrap/>
            <w:vAlign w:val="bottom"/>
          </w:tcPr>
          <w:p w14:paraId="68CC0D2E" w14:textId="11049D4A"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77229A2A" w14:textId="14C6284C"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4729173" w14:textId="77777777" w:rsidTr="000741BD">
        <w:trPr>
          <w:trHeight w:val="301"/>
        </w:trPr>
        <w:tc>
          <w:tcPr>
            <w:tcW w:w="294" w:type="dxa"/>
            <w:tcBorders>
              <w:top w:val="nil"/>
              <w:left w:val="nil"/>
              <w:bottom w:val="nil"/>
              <w:right w:val="nil"/>
            </w:tcBorders>
            <w:shd w:val="clear" w:color="000000" w:fill="CCFFFF"/>
            <w:noWrap/>
            <w:vAlign w:val="bottom"/>
            <w:hideMark/>
          </w:tcPr>
          <w:p w14:paraId="486D9D1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302F770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27F6504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Long-term loans payable</w:t>
            </w:r>
          </w:p>
        </w:tc>
        <w:tc>
          <w:tcPr>
            <w:tcW w:w="2249" w:type="dxa"/>
            <w:tcBorders>
              <w:top w:val="nil"/>
              <w:left w:val="nil"/>
              <w:bottom w:val="nil"/>
              <w:right w:val="nil"/>
            </w:tcBorders>
            <w:shd w:val="clear" w:color="000000" w:fill="CCFFFF"/>
            <w:noWrap/>
            <w:vAlign w:val="bottom"/>
          </w:tcPr>
          <w:p w14:paraId="2F72ED51" w14:textId="64B8C5C5"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67070C5F" w14:textId="7912E3C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F5492E0" w14:textId="77777777" w:rsidTr="000741BD">
        <w:trPr>
          <w:trHeight w:val="301"/>
        </w:trPr>
        <w:tc>
          <w:tcPr>
            <w:tcW w:w="294" w:type="dxa"/>
            <w:tcBorders>
              <w:top w:val="nil"/>
              <w:left w:val="nil"/>
              <w:bottom w:val="nil"/>
              <w:right w:val="nil"/>
            </w:tcBorders>
            <w:shd w:val="clear" w:color="auto" w:fill="auto"/>
            <w:noWrap/>
            <w:vAlign w:val="bottom"/>
            <w:hideMark/>
          </w:tcPr>
          <w:p w14:paraId="0A42A2B3"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3968702A"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76A3CB8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Net defined benefit liability </w:t>
            </w:r>
          </w:p>
        </w:tc>
        <w:tc>
          <w:tcPr>
            <w:tcW w:w="2249" w:type="dxa"/>
            <w:tcBorders>
              <w:top w:val="nil"/>
              <w:left w:val="nil"/>
              <w:bottom w:val="nil"/>
              <w:right w:val="nil"/>
            </w:tcBorders>
            <w:shd w:val="clear" w:color="auto" w:fill="auto"/>
            <w:noWrap/>
            <w:vAlign w:val="bottom"/>
          </w:tcPr>
          <w:p w14:paraId="04C30250" w14:textId="3FCAB8AD"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483C60A6" w14:textId="1F88023E"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6B056E1" w14:textId="77777777" w:rsidTr="000741BD">
        <w:trPr>
          <w:trHeight w:val="301"/>
        </w:trPr>
        <w:tc>
          <w:tcPr>
            <w:tcW w:w="294" w:type="dxa"/>
            <w:tcBorders>
              <w:top w:val="nil"/>
              <w:left w:val="nil"/>
              <w:bottom w:val="nil"/>
              <w:right w:val="nil"/>
            </w:tcBorders>
            <w:shd w:val="clear" w:color="000000" w:fill="CCFFFF"/>
            <w:noWrap/>
            <w:vAlign w:val="bottom"/>
            <w:hideMark/>
          </w:tcPr>
          <w:p w14:paraId="7A937BA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06FBC58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03D5C2A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Other </w:t>
            </w:r>
          </w:p>
        </w:tc>
        <w:tc>
          <w:tcPr>
            <w:tcW w:w="2249" w:type="dxa"/>
            <w:tcBorders>
              <w:top w:val="nil"/>
              <w:left w:val="nil"/>
              <w:bottom w:val="single" w:sz="4" w:space="0" w:color="auto"/>
              <w:right w:val="nil"/>
            </w:tcBorders>
            <w:shd w:val="clear" w:color="000000" w:fill="CCFFFF"/>
            <w:noWrap/>
            <w:vAlign w:val="bottom"/>
          </w:tcPr>
          <w:p w14:paraId="3A996F1D" w14:textId="3E50BDE4"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000000" w:fill="CCFFFF"/>
            <w:noWrap/>
            <w:vAlign w:val="bottom"/>
          </w:tcPr>
          <w:p w14:paraId="2B487B56" w14:textId="5F1B8882"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DD73A97" w14:textId="77777777" w:rsidTr="000741BD">
        <w:trPr>
          <w:trHeight w:val="301"/>
        </w:trPr>
        <w:tc>
          <w:tcPr>
            <w:tcW w:w="294" w:type="dxa"/>
            <w:tcBorders>
              <w:top w:val="nil"/>
              <w:left w:val="nil"/>
              <w:bottom w:val="nil"/>
              <w:right w:val="nil"/>
            </w:tcBorders>
            <w:shd w:val="clear" w:color="auto" w:fill="auto"/>
            <w:noWrap/>
            <w:vAlign w:val="bottom"/>
            <w:hideMark/>
          </w:tcPr>
          <w:p w14:paraId="0601B7E7"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0AF8DB4F"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080216A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noncurrent liabilities </w:t>
            </w:r>
          </w:p>
        </w:tc>
        <w:tc>
          <w:tcPr>
            <w:tcW w:w="2249" w:type="dxa"/>
            <w:tcBorders>
              <w:top w:val="nil"/>
              <w:left w:val="nil"/>
              <w:bottom w:val="single" w:sz="4" w:space="0" w:color="auto"/>
              <w:right w:val="nil"/>
            </w:tcBorders>
            <w:shd w:val="clear" w:color="auto" w:fill="auto"/>
            <w:noWrap/>
            <w:vAlign w:val="bottom"/>
          </w:tcPr>
          <w:p w14:paraId="532AE96A" w14:textId="00841906"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auto" w:fill="auto"/>
            <w:noWrap/>
            <w:vAlign w:val="bottom"/>
          </w:tcPr>
          <w:p w14:paraId="304979ED" w14:textId="3A91A56D"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3E90C9A" w14:textId="77777777" w:rsidTr="000741BD">
        <w:trPr>
          <w:trHeight w:val="301"/>
        </w:trPr>
        <w:tc>
          <w:tcPr>
            <w:tcW w:w="294" w:type="dxa"/>
            <w:tcBorders>
              <w:top w:val="nil"/>
              <w:left w:val="nil"/>
              <w:bottom w:val="nil"/>
              <w:right w:val="nil"/>
            </w:tcBorders>
            <w:shd w:val="clear" w:color="000000" w:fill="CCFFFF"/>
            <w:noWrap/>
            <w:vAlign w:val="bottom"/>
            <w:hideMark/>
          </w:tcPr>
          <w:p w14:paraId="14EF5CE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393" w:type="dxa"/>
            <w:gridSpan w:val="2"/>
            <w:tcBorders>
              <w:top w:val="nil"/>
              <w:left w:val="nil"/>
              <w:bottom w:val="nil"/>
              <w:right w:val="nil"/>
            </w:tcBorders>
            <w:shd w:val="clear" w:color="000000" w:fill="CCFFFF"/>
            <w:noWrap/>
            <w:vAlign w:val="bottom"/>
            <w:hideMark/>
          </w:tcPr>
          <w:p w14:paraId="3DCB6CD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liabilities </w:t>
            </w:r>
          </w:p>
        </w:tc>
        <w:tc>
          <w:tcPr>
            <w:tcW w:w="2249" w:type="dxa"/>
            <w:tcBorders>
              <w:top w:val="nil"/>
              <w:left w:val="nil"/>
              <w:bottom w:val="single" w:sz="4" w:space="0" w:color="auto"/>
              <w:right w:val="nil"/>
            </w:tcBorders>
            <w:shd w:val="clear" w:color="000000" w:fill="CCFFFF"/>
            <w:noWrap/>
            <w:vAlign w:val="bottom"/>
          </w:tcPr>
          <w:p w14:paraId="401B8864" w14:textId="07D9C1A4"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000000" w:fill="CCFFFF"/>
            <w:noWrap/>
            <w:vAlign w:val="bottom"/>
          </w:tcPr>
          <w:p w14:paraId="7B4C29B5" w14:textId="66C0A729"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B120D8E" w14:textId="77777777" w:rsidTr="000741BD">
        <w:trPr>
          <w:trHeight w:val="301"/>
        </w:trPr>
        <w:tc>
          <w:tcPr>
            <w:tcW w:w="5687" w:type="dxa"/>
            <w:gridSpan w:val="3"/>
            <w:tcBorders>
              <w:top w:val="nil"/>
              <w:left w:val="nil"/>
              <w:bottom w:val="nil"/>
              <w:right w:val="nil"/>
            </w:tcBorders>
            <w:shd w:val="clear" w:color="auto" w:fill="auto"/>
            <w:noWrap/>
            <w:vAlign w:val="bottom"/>
            <w:hideMark/>
          </w:tcPr>
          <w:p w14:paraId="0E952F90" w14:textId="77777777" w:rsidR="00982915" w:rsidRDefault="00EB6F73">
            <w:pPr>
              <w:spacing w:after="0" w:line="0" w:lineRule="atLeast"/>
              <w:rPr>
                <w:rFonts w:ascii="Arial" w:eastAsia="Times New Roman" w:hAnsi="Arial" w:cs="Arial"/>
                <w:b/>
                <w:color w:val="000000"/>
                <w:sz w:val="18"/>
                <w:szCs w:val="18"/>
                <w:lang w:eastAsia="zh-CN"/>
              </w:rPr>
            </w:pPr>
            <w:r>
              <w:rPr>
                <w:rFonts w:ascii="Arial" w:eastAsia="Times New Roman" w:hAnsi="Arial" w:cs="Arial"/>
                <w:b/>
                <w:color w:val="000000"/>
                <w:sz w:val="18"/>
                <w:szCs w:val="18"/>
                <w:lang w:eastAsia="zh-CN"/>
              </w:rPr>
              <w:t>NET ASSETS</w:t>
            </w:r>
          </w:p>
        </w:tc>
        <w:tc>
          <w:tcPr>
            <w:tcW w:w="2249" w:type="dxa"/>
            <w:tcBorders>
              <w:top w:val="nil"/>
              <w:left w:val="nil"/>
              <w:bottom w:val="nil"/>
              <w:right w:val="nil"/>
            </w:tcBorders>
            <w:shd w:val="clear" w:color="auto" w:fill="auto"/>
            <w:noWrap/>
            <w:vAlign w:val="bottom"/>
          </w:tcPr>
          <w:p w14:paraId="0C4E62F5" w14:textId="77777777" w:rsidR="00982915" w:rsidRDefault="00982915">
            <w:pPr>
              <w:spacing w:after="0" w:line="0" w:lineRule="atLeas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36371AF6" w14:textId="77777777" w:rsidR="00982915" w:rsidRDefault="00982915">
            <w:pPr>
              <w:spacing w:after="0" w:line="0" w:lineRule="atLeast"/>
              <w:rPr>
                <w:rFonts w:ascii="Arial" w:eastAsia="Times New Roman" w:hAnsi="Arial" w:cs="Arial"/>
                <w:color w:val="000000"/>
                <w:sz w:val="18"/>
                <w:szCs w:val="18"/>
                <w:lang w:eastAsia="zh-CN"/>
              </w:rPr>
            </w:pPr>
          </w:p>
        </w:tc>
      </w:tr>
      <w:tr w:rsidR="00982915" w14:paraId="30A150B0" w14:textId="77777777" w:rsidTr="000741BD">
        <w:trPr>
          <w:trHeight w:val="301"/>
        </w:trPr>
        <w:tc>
          <w:tcPr>
            <w:tcW w:w="294" w:type="dxa"/>
            <w:tcBorders>
              <w:top w:val="nil"/>
              <w:left w:val="nil"/>
              <w:bottom w:val="nil"/>
              <w:right w:val="nil"/>
            </w:tcBorders>
            <w:shd w:val="clear" w:color="000000" w:fill="CCFFFF"/>
            <w:noWrap/>
            <w:vAlign w:val="bottom"/>
            <w:hideMark/>
          </w:tcPr>
          <w:p w14:paraId="7E9EF7A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393" w:type="dxa"/>
            <w:gridSpan w:val="2"/>
            <w:tcBorders>
              <w:top w:val="nil"/>
              <w:left w:val="nil"/>
              <w:bottom w:val="nil"/>
              <w:right w:val="nil"/>
            </w:tcBorders>
            <w:shd w:val="clear" w:color="000000" w:fill="CCFFFF"/>
            <w:noWrap/>
            <w:vAlign w:val="bottom"/>
            <w:hideMark/>
          </w:tcPr>
          <w:p w14:paraId="338F66E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Shareholders' equity</w:t>
            </w:r>
          </w:p>
        </w:tc>
        <w:tc>
          <w:tcPr>
            <w:tcW w:w="2249" w:type="dxa"/>
            <w:tcBorders>
              <w:top w:val="nil"/>
              <w:left w:val="nil"/>
              <w:bottom w:val="nil"/>
              <w:right w:val="nil"/>
            </w:tcBorders>
            <w:shd w:val="clear" w:color="000000" w:fill="CCFFFF"/>
            <w:noWrap/>
            <w:vAlign w:val="bottom"/>
          </w:tcPr>
          <w:p w14:paraId="1F6BB6C3" w14:textId="6CC45CD1" w:rsidR="00982915" w:rsidRDefault="00982915">
            <w:pPr>
              <w:spacing w:after="0" w:line="0" w:lineRule="atLeas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024F2093" w14:textId="47E6652D" w:rsidR="00982915" w:rsidRDefault="00982915">
            <w:pPr>
              <w:spacing w:after="0" w:line="0" w:lineRule="atLeast"/>
              <w:rPr>
                <w:rFonts w:ascii="Arial" w:eastAsia="Times New Roman" w:hAnsi="Arial" w:cs="Arial"/>
                <w:color w:val="000000"/>
                <w:sz w:val="18"/>
                <w:szCs w:val="18"/>
                <w:lang w:eastAsia="zh-CN"/>
              </w:rPr>
            </w:pPr>
          </w:p>
        </w:tc>
      </w:tr>
      <w:tr w:rsidR="00982915" w14:paraId="182CE97F" w14:textId="77777777" w:rsidTr="000741BD">
        <w:trPr>
          <w:trHeight w:val="301"/>
        </w:trPr>
        <w:tc>
          <w:tcPr>
            <w:tcW w:w="294" w:type="dxa"/>
            <w:tcBorders>
              <w:top w:val="nil"/>
              <w:left w:val="nil"/>
              <w:bottom w:val="nil"/>
              <w:right w:val="nil"/>
            </w:tcBorders>
            <w:shd w:val="clear" w:color="auto" w:fill="auto"/>
            <w:noWrap/>
            <w:vAlign w:val="bottom"/>
            <w:hideMark/>
          </w:tcPr>
          <w:p w14:paraId="37A14D00"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4213DA68"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0EAEA6B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Capital stock </w:t>
            </w:r>
          </w:p>
        </w:tc>
        <w:tc>
          <w:tcPr>
            <w:tcW w:w="2249" w:type="dxa"/>
            <w:tcBorders>
              <w:top w:val="nil"/>
              <w:left w:val="nil"/>
              <w:bottom w:val="nil"/>
              <w:right w:val="nil"/>
            </w:tcBorders>
            <w:shd w:val="clear" w:color="auto" w:fill="auto"/>
            <w:noWrap/>
            <w:vAlign w:val="bottom"/>
          </w:tcPr>
          <w:p w14:paraId="5D3E99A3" w14:textId="0CDAD2EB"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4598F647" w14:textId="4429A63A"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FD0F7A5" w14:textId="77777777" w:rsidTr="000741BD">
        <w:trPr>
          <w:trHeight w:val="301"/>
        </w:trPr>
        <w:tc>
          <w:tcPr>
            <w:tcW w:w="294" w:type="dxa"/>
            <w:tcBorders>
              <w:top w:val="nil"/>
              <w:left w:val="nil"/>
              <w:bottom w:val="nil"/>
              <w:right w:val="nil"/>
            </w:tcBorders>
            <w:shd w:val="clear" w:color="000000" w:fill="CCFFFF"/>
            <w:noWrap/>
            <w:vAlign w:val="bottom"/>
            <w:hideMark/>
          </w:tcPr>
          <w:p w14:paraId="0E066F9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27F41ED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5B500B46"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Capital surplus </w:t>
            </w:r>
          </w:p>
        </w:tc>
        <w:tc>
          <w:tcPr>
            <w:tcW w:w="2249" w:type="dxa"/>
            <w:tcBorders>
              <w:top w:val="nil"/>
              <w:left w:val="nil"/>
              <w:bottom w:val="nil"/>
              <w:right w:val="nil"/>
            </w:tcBorders>
            <w:shd w:val="clear" w:color="000000" w:fill="CCFFFF"/>
            <w:noWrap/>
            <w:vAlign w:val="bottom"/>
          </w:tcPr>
          <w:p w14:paraId="28CD6F39" w14:textId="6CA2C98F"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6C309BAC" w14:textId="41DA3EAA"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298AE61" w14:textId="77777777" w:rsidTr="000741BD">
        <w:trPr>
          <w:trHeight w:val="301"/>
        </w:trPr>
        <w:tc>
          <w:tcPr>
            <w:tcW w:w="294" w:type="dxa"/>
            <w:tcBorders>
              <w:top w:val="nil"/>
              <w:left w:val="nil"/>
              <w:bottom w:val="nil"/>
              <w:right w:val="nil"/>
            </w:tcBorders>
            <w:shd w:val="clear" w:color="auto" w:fill="auto"/>
            <w:noWrap/>
            <w:vAlign w:val="bottom"/>
            <w:hideMark/>
          </w:tcPr>
          <w:p w14:paraId="2EB9269F"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100B65A6"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20475A8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Retained earnings </w:t>
            </w:r>
          </w:p>
        </w:tc>
        <w:tc>
          <w:tcPr>
            <w:tcW w:w="2249" w:type="dxa"/>
            <w:tcBorders>
              <w:top w:val="nil"/>
              <w:left w:val="nil"/>
              <w:bottom w:val="nil"/>
              <w:right w:val="nil"/>
            </w:tcBorders>
            <w:shd w:val="clear" w:color="auto" w:fill="auto"/>
            <w:noWrap/>
            <w:vAlign w:val="bottom"/>
          </w:tcPr>
          <w:p w14:paraId="6C6818D2" w14:textId="03A1D668"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708D2A32" w14:textId="3C1B6FEE"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D7326A2" w14:textId="77777777" w:rsidTr="000741BD">
        <w:trPr>
          <w:trHeight w:val="301"/>
        </w:trPr>
        <w:tc>
          <w:tcPr>
            <w:tcW w:w="294" w:type="dxa"/>
            <w:tcBorders>
              <w:top w:val="nil"/>
              <w:left w:val="nil"/>
              <w:bottom w:val="nil"/>
              <w:right w:val="nil"/>
            </w:tcBorders>
            <w:shd w:val="clear" w:color="000000" w:fill="CCFFFF"/>
            <w:noWrap/>
            <w:vAlign w:val="bottom"/>
            <w:hideMark/>
          </w:tcPr>
          <w:p w14:paraId="6666C6E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0FEA96D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35AA868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Treasury stock</w:t>
            </w:r>
          </w:p>
        </w:tc>
        <w:tc>
          <w:tcPr>
            <w:tcW w:w="2249" w:type="dxa"/>
            <w:tcBorders>
              <w:top w:val="nil"/>
              <w:left w:val="nil"/>
              <w:bottom w:val="single" w:sz="4" w:space="0" w:color="auto"/>
              <w:right w:val="nil"/>
            </w:tcBorders>
            <w:shd w:val="clear" w:color="000000" w:fill="CCFFFF"/>
            <w:noWrap/>
            <w:vAlign w:val="bottom"/>
          </w:tcPr>
          <w:p w14:paraId="69F7FEF9" w14:textId="24007AA5"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000000" w:fill="CCFFFF"/>
            <w:noWrap/>
            <w:vAlign w:val="bottom"/>
          </w:tcPr>
          <w:p w14:paraId="69FD820D" w14:textId="72AAF832"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0E4EE6B" w14:textId="77777777" w:rsidTr="000741BD">
        <w:trPr>
          <w:trHeight w:val="301"/>
        </w:trPr>
        <w:tc>
          <w:tcPr>
            <w:tcW w:w="294" w:type="dxa"/>
            <w:tcBorders>
              <w:top w:val="nil"/>
              <w:left w:val="nil"/>
              <w:bottom w:val="nil"/>
              <w:right w:val="nil"/>
            </w:tcBorders>
            <w:shd w:val="clear" w:color="auto" w:fill="auto"/>
            <w:noWrap/>
            <w:vAlign w:val="bottom"/>
            <w:hideMark/>
          </w:tcPr>
          <w:p w14:paraId="059DDCA3"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14260D25"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12D2F33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shareholders' equity</w:t>
            </w:r>
          </w:p>
        </w:tc>
        <w:tc>
          <w:tcPr>
            <w:tcW w:w="2249" w:type="dxa"/>
            <w:tcBorders>
              <w:top w:val="nil"/>
              <w:left w:val="nil"/>
              <w:bottom w:val="single" w:sz="4" w:space="0" w:color="auto"/>
              <w:right w:val="nil"/>
            </w:tcBorders>
            <w:shd w:val="clear" w:color="auto" w:fill="auto"/>
            <w:noWrap/>
            <w:vAlign w:val="bottom"/>
          </w:tcPr>
          <w:p w14:paraId="41C8AC31" w14:textId="2DADD701"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auto" w:fill="auto"/>
            <w:noWrap/>
            <w:vAlign w:val="bottom"/>
          </w:tcPr>
          <w:p w14:paraId="4A82A446" w14:textId="416DD5B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6CBD69F4" w14:textId="77777777" w:rsidTr="000741BD">
        <w:trPr>
          <w:trHeight w:val="301"/>
        </w:trPr>
        <w:tc>
          <w:tcPr>
            <w:tcW w:w="294" w:type="dxa"/>
            <w:tcBorders>
              <w:top w:val="nil"/>
              <w:left w:val="nil"/>
              <w:bottom w:val="nil"/>
              <w:right w:val="nil"/>
            </w:tcBorders>
            <w:shd w:val="clear" w:color="000000" w:fill="CCFFFF"/>
            <w:noWrap/>
            <w:vAlign w:val="bottom"/>
            <w:hideMark/>
          </w:tcPr>
          <w:p w14:paraId="399B424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393" w:type="dxa"/>
            <w:gridSpan w:val="2"/>
            <w:tcBorders>
              <w:top w:val="nil"/>
              <w:left w:val="nil"/>
              <w:bottom w:val="nil"/>
              <w:right w:val="nil"/>
            </w:tcBorders>
            <w:shd w:val="clear" w:color="000000" w:fill="CCFFFF"/>
            <w:noWrap/>
            <w:vAlign w:val="bottom"/>
            <w:hideMark/>
          </w:tcPr>
          <w:p w14:paraId="144B9676"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Accumulated other comprehensive income</w:t>
            </w:r>
          </w:p>
        </w:tc>
        <w:tc>
          <w:tcPr>
            <w:tcW w:w="2249" w:type="dxa"/>
            <w:tcBorders>
              <w:top w:val="nil"/>
              <w:left w:val="nil"/>
              <w:bottom w:val="nil"/>
              <w:right w:val="nil"/>
            </w:tcBorders>
            <w:shd w:val="clear" w:color="000000" w:fill="CCFFFF"/>
            <w:noWrap/>
            <w:vAlign w:val="bottom"/>
          </w:tcPr>
          <w:p w14:paraId="32D7E477" w14:textId="7AE3ED1C" w:rsidR="00982915" w:rsidRDefault="00982915">
            <w:pPr>
              <w:spacing w:after="0" w:line="0" w:lineRule="atLeas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1F647A88" w14:textId="011E1A4F" w:rsidR="00982915" w:rsidRDefault="00982915">
            <w:pPr>
              <w:spacing w:after="0" w:line="0" w:lineRule="atLeast"/>
              <w:rPr>
                <w:rFonts w:ascii="Arial" w:eastAsia="Times New Roman" w:hAnsi="Arial" w:cs="Arial"/>
                <w:color w:val="000000"/>
                <w:sz w:val="18"/>
                <w:szCs w:val="18"/>
                <w:lang w:eastAsia="zh-CN"/>
              </w:rPr>
            </w:pPr>
          </w:p>
        </w:tc>
      </w:tr>
      <w:tr w:rsidR="00982915" w14:paraId="76475204" w14:textId="77777777" w:rsidTr="000741BD">
        <w:trPr>
          <w:trHeight w:val="301"/>
        </w:trPr>
        <w:tc>
          <w:tcPr>
            <w:tcW w:w="294" w:type="dxa"/>
            <w:tcBorders>
              <w:top w:val="nil"/>
              <w:left w:val="nil"/>
              <w:bottom w:val="nil"/>
              <w:right w:val="nil"/>
            </w:tcBorders>
            <w:shd w:val="clear" w:color="auto" w:fill="auto"/>
            <w:noWrap/>
            <w:vAlign w:val="bottom"/>
            <w:hideMark/>
          </w:tcPr>
          <w:p w14:paraId="39969879"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616423E9"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59C2863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Valuation difference on available-for-sale securities </w:t>
            </w:r>
          </w:p>
        </w:tc>
        <w:tc>
          <w:tcPr>
            <w:tcW w:w="2249" w:type="dxa"/>
            <w:tcBorders>
              <w:top w:val="nil"/>
              <w:left w:val="nil"/>
              <w:bottom w:val="nil"/>
              <w:right w:val="nil"/>
            </w:tcBorders>
            <w:shd w:val="clear" w:color="auto" w:fill="auto"/>
            <w:noWrap/>
            <w:vAlign w:val="bottom"/>
          </w:tcPr>
          <w:p w14:paraId="16A3233A" w14:textId="154CACCD"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0B8B339A" w14:textId="150C5605"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7C326F2" w14:textId="77777777" w:rsidTr="000741BD">
        <w:trPr>
          <w:trHeight w:val="301"/>
        </w:trPr>
        <w:tc>
          <w:tcPr>
            <w:tcW w:w="294" w:type="dxa"/>
            <w:tcBorders>
              <w:top w:val="nil"/>
              <w:left w:val="nil"/>
              <w:bottom w:val="nil"/>
              <w:right w:val="nil"/>
            </w:tcBorders>
            <w:shd w:val="clear" w:color="000000" w:fill="CCFFFF"/>
            <w:noWrap/>
            <w:vAlign w:val="bottom"/>
            <w:hideMark/>
          </w:tcPr>
          <w:p w14:paraId="292250B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247EB69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2C2EED2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Deferred gains or losses on hedges </w:t>
            </w:r>
          </w:p>
        </w:tc>
        <w:tc>
          <w:tcPr>
            <w:tcW w:w="2249" w:type="dxa"/>
            <w:tcBorders>
              <w:top w:val="nil"/>
              <w:left w:val="nil"/>
              <w:bottom w:val="nil"/>
              <w:right w:val="nil"/>
            </w:tcBorders>
            <w:shd w:val="clear" w:color="000000" w:fill="CCFFFF"/>
            <w:noWrap/>
            <w:vAlign w:val="bottom"/>
          </w:tcPr>
          <w:p w14:paraId="1F4DFE5D" w14:textId="13644E53"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0E240AE8" w14:textId="398DE3AE"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ADC4761" w14:textId="77777777" w:rsidTr="000741BD">
        <w:trPr>
          <w:trHeight w:val="301"/>
        </w:trPr>
        <w:tc>
          <w:tcPr>
            <w:tcW w:w="294" w:type="dxa"/>
            <w:tcBorders>
              <w:top w:val="nil"/>
              <w:left w:val="nil"/>
              <w:bottom w:val="nil"/>
              <w:right w:val="nil"/>
            </w:tcBorders>
            <w:shd w:val="clear" w:color="auto" w:fill="auto"/>
            <w:noWrap/>
            <w:vAlign w:val="bottom"/>
            <w:hideMark/>
          </w:tcPr>
          <w:p w14:paraId="34B9E263"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5A2ECCF3"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5079701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Revaluation reserve for land</w:t>
            </w:r>
          </w:p>
        </w:tc>
        <w:tc>
          <w:tcPr>
            <w:tcW w:w="2249" w:type="dxa"/>
            <w:tcBorders>
              <w:top w:val="nil"/>
              <w:left w:val="nil"/>
              <w:bottom w:val="nil"/>
              <w:right w:val="nil"/>
            </w:tcBorders>
            <w:shd w:val="clear" w:color="auto" w:fill="auto"/>
            <w:noWrap/>
            <w:vAlign w:val="bottom"/>
          </w:tcPr>
          <w:p w14:paraId="5DCD7506" w14:textId="2873BFCA"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2E0F4524" w14:textId="0A1D7DE7"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61F3496" w14:textId="77777777" w:rsidTr="000741BD">
        <w:trPr>
          <w:trHeight w:val="301"/>
        </w:trPr>
        <w:tc>
          <w:tcPr>
            <w:tcW w:w="294" w:type="dxa"/>
            <w:tcBorders>
              <w:top w:val="nil"/>
              <w:left w:val="nil"/>
              <w:bottom w:val="nil"/>
              <w:right w:val="nil"/>
            </w:tcBorders>
            <w:shd w:val="clear" w:color="000000" w:fill="CCFFFF"/>
            <w:noWrap/>
            <w:vAlign w:val="bottom"/>
            <w:hideMark/>
          </w:tcPr>
          <w:p w14:paraId="0FAB0AC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2FC9A3D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659FAC1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Foreign currency translation adjustment </w:t>
            </w:r>
          </w:p>
        </w:tc>
        <w:tc>
          <w:tcPr>
            <w:tcW w:w="2249" w:type="dxa"/>
            <w:tcBorders>
              <w:top w:val="nil"/>
              <w:left w:val="nil"/>
              <w:bottom w:val="nil"/>
              <w:right w:val="nil"/>
            </w:tcBorders>
            <w:shd w:val="clear" w:color="000000" w:fill="CCFFFF"/>
            <w:noWrap/>
            <w:vAlign w:val="bottom"/>
          </w:tcPr>
          <w:p w14:paraId="3999327D" w14:textId="17773F4E"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000000" w:fill="CCFFFF"/>
            <w:noWrap/>
            <w:vAlign w:val="bottom"/>
          </w:tcPr>
          <w:p w14:paraId="4532BA3B" w14:textId="7B917D0C"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6B045BF5" w14:textId="77777777" w:rsidTr="000741BD">
        <w:trPr>
          <w:trHeight w:val="301"/>
        </w:trPr>
        <w:tc>
          <w:tcPr>
            <w:tcW w:w="294" w:type="dxa"/>
            <w:tcBorders>
              <w:top w:val="nil"/>
              <w:left w:val="nil"/>
              <w:bottom w:val="nil"/>
              <w:right w:val="nil"/>
            </w:tcBorders>
            <w:shd w:val="clear" w:color="auto" w:fill="auto"/>
            <w:noWrap/>
            <w:vAlign w:val="bottom"/>
            <w:hideMark/>
          </w:tcPr>
          <w:p w14:paraId="36313F73" w14:textId="77777777" w:rsidR="00982915" w:rsidRDefault="00982915">
            <w:pPr>
              <w:spacing w:after="0" w:line="0" w:lineRule="atLeast"/>
              <w:rPr>
                <w:rFonts w:ascii="Arial" w:eastAsia="Times New Roman" w:hAnsi="Arial" w:cs="Arial"/>
                <w:color w:val="000000"/>
                <w:sz w:val="18"/>
                <w:szCs w:val="18"/>
                <w:lang w:eastAsia="zh-CN"/>
              </w:rPr>
            </w:pPr>
          </w:p>
        </w:tc>
        <w:tc>
          <w:tcPr>
            <w:tcW w:w="294" w:type="dxa"/>
            <w:tcBorders>
              <w:top w:val="nil"/>
              <w:left w:val="nil"/>
              <w:bottom w:val="nil"/>
              <w:right w:val="nil"/>
            </w:tcBorders>
            <w:shd w:val="clear" w:color="auto" w:fill="auto"/>
            <w:noWrap/>
            <w:vAlign w:val="bottom"/>
            <w:hideMark/>
          </w:tcPr>
          <w:p w14:paraId="1A5BFA44" w14:textId="77777777" w:rsidR="00982915" w:rsidRDefault="00982915">
            <w:pPr>
              <w:spacing w:after="0" w:line="0" w:lineRule="atLeast"/>
              <w:rPr>
                <w:rFonts w:ascii="Arial" w:eastAsia="Times New Roman" w:hAnsi="Arial" w:cs="Arial"/>
                <w:color w:val="000000"/>
                <w:sz w:val="18"/>
                <w:szCs w:val="18"/>
                <w:lang w:eastAsia="zh-CN"/>
              </w:rPr>
            </w:pPr>
          </w:p>
        </w:tc>
        <w:tc>
          <w:tcPr>
            <w:tcW w:w="5099" w:type="dxa"/>
            <w:tcBorders>
              <w:top w:val="nil"/>
              <w:left w:val="nil"/>
              <w:bottom w:val="nil"/>
              <w:right w:val="nil"/>
            </w:tcBorders>
            <w:shd w:val="clear" w:color="auto" w:fill="auto"/>
            <w:noWrap/>
            <w:vAlign w:val="bottom"/>
            <w:hideMark/>
          </w:tcPr>
          <w:p w14:paraId="559CD43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Remeasurements of defined benefit plans</w:t>
            </w:r>
          </w:p>
        </w:tc>
        <w:tc>
          <w:tcPr>
            <w:tcW w:w="2249" w:type="dxa"/>
            <w:tcBorders>
              <w:top w:val="nil"/>
              <w:left w:val="nil"/>
              <w:bottom w:val="single" w:sz="4" w:space="0" w:color="auto"/>
              <w:right w:val="nil"/>
            </w:tcBorders>
            <w:shd w:val="clear" w:color="auto" w:fill="auto"/>
            <w:noWrap/>
            <w:vAlign w:val="bottom"/>
          </w:tcPr>
          <w:p w14:paraId="7C868085" w14:textId="0B2D9099"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auto" w:fill="auto"/>
            <w:noWrap/>
            <w:vAlign w:val="bottom"/>
          </w:tcPr>
          <w:p w14:paraId="4EFD6B25" w14:textId="54C4563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78EC67A" w14:textId="77777777" w:rsidTr="000741BD">
        <w:trPr>
          <w:trHeight w:val="301"/>
        </w:trPr>
        <w:tc>
          <w:tcPr>
            <w:tcW w:w="294" w:type="dxa"/>
            <w:tcBorders>
              <w:top w:val="nil"/>
              <w:left w:val="nil"/>
              <w:bottom w:val="nil"/>
              <w:right w:val="nil"/>
            </w:tcBorders>
            <w:shd w:val="clear" w:color="000000" w:fill="CCFFFF"/>
            <w:noWrap/>
            <w:vAlign w:val="bottom"/>
            <w:hideMark/>
          </w:tcPr>
          <w:p w14:paraId="2148A6F7"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4" w:type="dxa"/>
            <w:tcBorders>
              <w:top w:val="nil"/>
              <w:left w:val="nil"/>
              <w:bottom w:val="nil"/>
              <w:right w:val="nil"/>
            </w:tcBorders>
            <w:shd w:val="clear" w:color="000000" w:fill="CCFFFF"/>
            <w:noWrap/>
            <w:vAlign w:val="bottom"/>
            <w:hideMark/>
          </w:tcPr>
          <w:p w14:paraId="7B3A070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099" w:type="dxa"/>
            <w:tcBorders>
              <w:top w:val="nil"/>
              <w:left w:val="nil"/>
              <w:bottom w:val="nil"/>
              <w:right w:val="nil"/>
            </w:tcBorders>
            <w:shd w:val="clear" w:color="000000" w:fill="CCFFFF"/>
            <w:noWrap/>
            <w:vAlign w:val="bottom"/>
            <w:hideMark/>
          </w:tcPr>
          <w:p w14:paraId="7C2B90D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accumulated other comprehensive income </w:t>
            </w:r>
          </w:p>
        </w:tc>
        <w:tc>
          <w:tcPr>
            <w:tcW w:w="2249" w:type="dxa"/>
            <w:tcBorders>
              <w:top w:val="nil"/>
              <w:left w:val="nil"/>
              <w:bottom w:val="single" w:sz="4" w:space="0" w:color="auto"/>
              <w:right w:val="nil"/>
            </w:tcBorders>
            <w:shd w:val="clear" w:color="000000" w:fill="CCFFFF"/>
            <w:noWrap/>
            <w:vAlign w:val="bottom"/>
          </w:tcPr>
          <w:p w14:paraId="2E5FB204" w14:textId="1A2DA76F"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000000" w:fill="CCFFFF"/>
            <w:noWrap/>
            <w:vAlign w:val="bottom"/>
          </w:tcPr>
          <w:p w14:paraId="283D0252" w14:textId="6E10EBA9"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28609CF8" w14:textId="77777777" w:rsidTr="000741BD">
        <w:trPr>
          <w:trHeight w:val="301"/>
        </w:trPr>
        <w:tc>
          <w:tcPr>
            <w:tcW w:w="294" w:type="dxa"/>
            <w:tcBorders>
              <w:top w:val="nil"/>
              <w:left w:val="nil"/>
              <w:bottom w:val="nil"/>
              <w:right w:val="nil"/>
            </w:tcBorders>
            <w:shd w:val="clear" w:color="auto" w:fill="auto"/>
            <w:noWrap/>
            <w:vAlign w:val="bottom"/>
            <w:hideMark/>
          </w:tcPr>
          <w:p w14:paraId="4B61031F" w14:textId="77777777" w:rsidR="00982915" w:rsidRDefault="00982915">
            <w:pPr>
              <w:spacing w:after="0" w:line="0" w:lineRule="atLeast"/>
              <w:rPr>
                <w:rFonts w:ascii="Arial" w:eastAsia="Times New Roman" w:hAnsi="Arial" w:cs="Arial"/>
                <w:color w:val="000000"/>
                <w:sz w:val="18"/>
                <w:szCs w:val="18"/>
                <w:lang w:eastAsia="zh-CN"/>
              </w:rPr>
            </w:pPr>
          </w:p>
        </w:tc>
        <w:tc>
          <w:tcPr>
            <w:tcW w:w="5393" w:type="dxa"/>
            <w:gridSpan w:val="2"/>
            <w:tcBorders>
              <w:top w:val="nil"/>
              <w:left w:val="nil"/>
              <w:bottom w:val="nil"/>
              <w:right w:val="nil"/>
            </w:tcBorders>
            <w:shd w:val="clear" w:color="auto" w:fill="auto"/>
            <w:noWrap/>
            <w:vAlign w:val="bottom"/>
            <w:hideMark/>
          </w:tcPr>
          <w:p w14:paraId="63C19D1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Subscription rights to shares</w:t>
            </w:r>
          </w:p>
        </w:tc>
        <w:tc>
          <w:tcPr>
            <w:tcW w:w="2249" w:type="dxa"/>
            <w:tcBorders>
              <w:top w:val="nil"/>
              <w:left w:val="nil"/>
              <w:bottom w:val="nil"/>
              <w:right w:val="nil"/>
            </w:tcBorders>
            <w:shd w:val="clear" w:color="auto" w:fill="auto"/>
            <w:noWrap/>
            <w:vAlign w:val="bottom"/>
          </w:tcPr>
          <w:p w14:paraId="15B38918" w14:textId="2EC1DA09"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nil"/>
              <w:right w:val="nil"/>
            </w:tcBorders>
            <w:shd w:val="clear" w:color="auto" w:fill="auto"/>
            <w:noWrap/>
            <w:vAlign w:val="bottom"/>
          </w:tcPr>
          <w:p w14:paraId="239F111F" w14:textId="647D1CAC"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03995FA" w14:textId="77777777" w:rsidTr="000741BD">
        <w:trPr>
          <w:trHeight w:val="301"/>
        </w:trPr>
        <w:tc>
          <w:tcPr>
            <w:tcW w:w="294" w:type="dxa"/>
            <w:tcBorders>
              <w:top w:val="nil"/>
              <w:left w:val="nil"/>
              <w:bottom w:val="nil"/>
              <w:right w:val="nil"/>
            </w:tcBorders>
            <w:shd w:val="clear" w:color="000000" w:fill="CCFFFF"/>
            <w:noWrap/>
            <w:vAlign w:val="bottom"/>
            <w:hideMark/>
          </w:tcPr>
          <w:p w14:paraId="1D728D3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5393" w:type="dxa"/>
            <w:gridSpan w:val="2"/>
            <w:tcBorders>
              <w:top w:val="nil"/>
              <w:left w:val="nil"/>
              <w:bottom w:val="nil"/>
              <w:right w:val="nil"/>
            </w:tcBorders>
            <w:shd w:val="clear" w:color="000000" w:fill="CCFFFF"/>
            <w:noWrap/>
            <w:vAlign w:val="bottom"/>
            <w:hideMark/>
          </w:tcPr>
          <w:p w14:paraId="4EA1516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Minority interests </w:t>
            </w:r>
          </w:p>
        </w:tc>
        <w:tc>
          <w:tcPr>
            <w:tcW w:w="2249" w:type="dxa"/>
            <w:tcBorders>
              <w:top w:val="nil"/>
              <w:left w:val="nil"/>
              <w:bottom w:val="single" w:sz="4" w:space="0" w:color="auto"/>
              <w:right w:val="nil"/>
            </w:tcBorders>
            <w:shd w:val="clear" w:color="000000" w:fill="CCFFFF"/>
            <w:noWrap/>
            <w:vAlign w:val="bottom"/>
          </w:tcPr>
          <w:p w14:paraId="1DBB9F27" w14:textId="0519F309"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000000" w:fill="CCFFFF"/>
            <w:noWrap/>
            <w:vAlign w:val="bottom"/>
          </w:tcPr>
          <w:p w14:paraId="41D55563" w14:textId="5DD66628"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6953422" w14:textId="77777777" w:rsidTr="000741BD">
        <w:trPr>
          <w:trHeight w:val="301"/>
        </w:trPr>
        <w:tc>
          <w:tcPr>
            <w:tcW w:w="294" w:type="dxa"/>
            <w:tcBorders>
              <w:top w:val="nil"/>
              <w:left w:val="nil"/>
              <w:bottom w:val="nil"/>
              <w:right w:val="nil"/>
            </w:tcBorders>
            <w:shd w:val="clear" w:color="auto" w:fill="auto"/>
            <w:noWrap/>
            <w:vAlign w:val="bottom"/>
            <w:hideMark/>
          </w:tcPr>
          <w:p w14:paraId="2C3B5796" w14:textId="77777777" w:rsidR="00982915" w:rsidRDefault="00982915">
            <w:pPr>
              <w:spacing w:after="0" w:line="0" w:lineRule="atLeast"/>
              <w:rPr>
                <w:rFonts w:ascii="Arial" w:eastAsia="Times New Roman" w:hAnsi="Arial" w:cs="Arial"/>
                <w:color w:val="000000"/>
                <w:sz w:val="18"/>
                <w:szCs w:val="18"/>
                <w:lang w:eastAsia="zh-CN"/>
              </w:rPr>
            </w:pPr>
          </w:p>
        </w:tc>
        <w:tc>
          <w:tcPr>
            <w:tcW w:w="5393" w:type="dxa"/>
            <w:gridSpan w:val="2"/>
            <w:tcBorders>
              <w:top w:val="nil"/>
              <w:left w:val="nil"/>
              <w:bottom w:val="nil"/>
              <w:right w:val="nil"/>
            </w:tcBorders>
            <w:shd w:val="clear" w:color="auto" w:fill="auto"/>
            <w:noWrap/>
            <w:vAlign w:val="bottom"/>
            <w:hideMark/>
          </w:tcPr>
          <w:p w14:paraId="7B9BDF1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net assets </w:t>
            </w:r>
          </w:p>
        </w:tc>
        <w:tc>
          <w:tcPr>
            <w:tcW w:w="2249" w:type="dxa"/>
            <w:tcBorders>
              <w:top w:val="nil"/>
              <w:left w:val="nil"/>
              <w:bottom w:val="single" w:sz="4" w:space="0" w:color="auto"/>
              <w:right w:val="nil"/>
            </w:tcBorders>
            <w:shd w:val="clear" w:color="auto" w:fill="auto"/>
            <w:noWrap/>
            <w:vAlign w:val="bottom"/>
          </w:tcPr>
          <w:p w14:paraId="25C99D9E" w14:textId="7E9B77FB"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auto" w:fill="auto"/>
            <w:noWrap/>
            <w:vAlign w:val="bottom"/>
          </w:tcPr>
          <w:p w14:paraId="42B0756A" w14:textId="4F8D665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C32B8FA" w14:textId="77777777" w:rsidTr="000741BD">
        <w:trPr>
          <w:trHeight w:val="301"/>
        </w:trPr>
        <w:tc>
          <w:tcPr>
            <w:tcW w:w="5687" w:type="dxa"/>
            <w:gridSpan w:val="3"/>
            <w:tcBorders>
              <w:top w:val="nil"/>
              <w:left w:val="nil"/>
              <w:bottom w:val="nil"/>
              <w:right w:val="nil"/>
            </w:tcBorders>
            <w:shd w:val="clear" w:color="000000" w:fill="CCFFFF"/>
            <w:noWrap/>
            <w:vAlign w:val="bottom"/>
            <w:hideMark/>
          </w:tcPr>
          <w:p w14:paraId="24FDC0E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Total liabilities, net assets </w:t>
            </w:r>
          </w:p>
        </w:tc>
        <w:tc>
          <w:tcPr>
            <w:tcW w:w="2249" w:type="dxa"/>
            <w:tcBorders>
              <w:top w:val="nil"/>
              <w:left w:val="nil"/>
              <w:bottom w:val="single" w:sz="4" w:space="0" w:color="auto"/>
              <w:right w:val="nil"/>
            </w:tcBorders>
            <w:shd w:val="clear" w:color="000000" w:fill="CCFFFF"/>
            <w:noWrap/>
            <w:vAlign w:val="bottom"/>
          </w:tcPr>
          <w:p w14:paraId="35DE8C34" w14:textId="79B7C8B0" w:rsidR="00982915" w:rsidRDefault="00982915">
            <w:pPr>
              <w:spacing w:after="0" w:line="0" w:lineRule="atLeast"/>
              <w:jc w:val="right"/>
              <w:rPr>
                <w:rFonts w:ascii="Arial" w:eastAsia="Times New Roman" w:hAnsi="Arial" w:cs="Arial"/>
                <w:color w:val="000000"/>
                <w:sz w:val="18"/>
                <w:szCs w:val="18"/>
                <w:lang w:eastAsia="zh-CN"/>
              </w:rPr>
            </w:pPr>
          </w:p>
        </w:tc>
        <w:tc>
          <w:tcPr>
            <w:tcW w:w="2249" w:type="dxa"/>
            <w:tcBorders>
              <w:top w:val="nil"/>
              <w:left w:val="nil"/>
              <w:bottom w:val="single" w:sz="4" w:space="0" w:color="auto"/>
              <w:right w:val="nil"/>
            </w:tcBorders>
            <w:shd w:val="clear" w:color="000000" w:fill="CCFFFF"/>
            <w:noWrap/>
            <w:vAlign w:val="bottom"/>
          </w:tcPr>
          <w:p w14:paraId="35B56D66" w14:textId="2D56E5B9" w:rsidR="00982915" w:rsidRDefault="00982915">
            <w:pPr>
              <w:spacing w:after="0" w:line="0" w:lineRule="atLeast"/>
              <w:jc w:val="right"/>
              <w:rPr>
                <w:rFonts w:ascii="Arial" w:eastAsia="Times New Roman" w:hAnsi="Arial" w:cs="Arial"/>
                <w:color w:val="000000"/>
                <w:sz w:val="18"/>
                <w:szCs w:val="18"/>
                <w:lang w:eastAsia="zh-CN"/>
              </w:rPr>
            </w:pPr>
          </w:p>
        </w:tc>
      </w:tr>
    </w:tbl>
    <w:p w14:paraId="10EEF6E9" w14:textId="77777777" w:rsidR="00982915" w:rsidRDefault="00EB6F73">
      <w:pPr>
        <w:rPr>
          <w:rFonts w:ascii="Arial" w:hAnsi="Arial" w:cs="Arial"/>
          <w:b/>
          <w:bCs/>
          <w:szCs w:val="22"/>
        </w:rPr>
      </w:pPr>
      <w:r>
        <w:rPr>
          <w:rFonts w:ascii="Arial" w:hAnsi="Arial" w:cs="Arial"/>
          <w:b/>
          <w:bCs/>
          <w:szCs w:val="22"/>
        </w:rPr>
        <w:br w:type="page"/>
      </w:r>
    </w:p>
    <w:p w14:paraId="3A8302F0" w14:textId="77777777" w:rsidR="00982915" w:rsidRDefault="00EB6F73">
      <w:pPr>
        <w:tabs>
          <w:tab w:val="left" w:pos="426"/>
        </w:tabs>
        <w:spacing w:after="0" w:line="360" w:lineRule="auto"/>
        <w:jc w:val="both"/>
        <w:rPr>
          <w:rFonts w:ascii="Arial" w:hAnsi="Arial" w:cs="Arial"/>
          <w:b/>
          <w:bCs/>
          <w:sz w:val="21"/>
          <w:szCs w:val="22"/>
        </w:rPr>
      </w:pPr>
      <w:r>
        <w:rPr>
          <w:rFonts w:ascii="Arial" w:hAnsi="Arial" w:cs="Arial"/>
          <w:b/>
          <w:bCs/>
          <w:sz w:val="21"/>
          <w:szCs w:val="22"/>
        </w:rPr>
        <w:lastRenderedPageBreak/>
        <w:t>2. Consolidated Statements of Operations</w:t>
      </w:r>
    </w:p>
    <w:p w14:paraId="4F14972A" w14:textId="77777777" w:rsidR="00982915" w:rsidRDefault="00EB6F73">
      <w:pPr>
        <w:tabs>
          <w:tab w:val="left" w:pos="426"/>
        </w:tabs>
        <w:spacing w:after="0" w:line="360" w:lineRule="auto"/>
        <w:jc w:val="both"/>
        <w:rPr>
          <w:rFonts w:ascii="Arial" w:hAnsi="Arial" w:cs="Arial"/>
          <w:b/>
          <w:bCs/>
          <w:sz w:val="18"/>
          <w:szCs w:val="22"/>
        </w:rPr>
      </w:pPr>
      <w:r>
        <w:rPr>
          <w:rFonts w:ascii="Arial" w:hAnsi="Arial" w:cs="Arial"/>
          <w:b/>
          <w:bCs/>
          <w:sz w:val="18"/>
          <w:szCs w:val="22"/>
        </w:rPr>
        <w:t>(Nine Months Ended September 30, 2015)</w:t>
      </w:r>
    </w:p>
    <w:tbl>
      <w:tblPr>
        <w:tblW w:w="10199" w:type="dxa"/>
        <w:tblInd w:w="93" w:type="dxa"/>
        <w:tblLayout w:type="fixed"/>
        <w:tblLook w:val="04A0" w:firstRow="1" w:lastRow="0" w:firstColumn="1" w:lastColumn="0" w:noHBand="0" w:noVBand="1"/>
      </w:tblPr>
      <w:tblGrid>
        <w:gridCol w:w="292"/>
        <w:gridCol w:w="3641"/>
        <w:gridCol w:w="3133"/>
        <w:gridCol w:w="3133"/>
      </w:tblGrid>
      <w:tr w:rsidR="00982915" w14:paraId="3231EA31" w14:textId="77777777">
        <w:trPr>
          <w:trHeight w:val="262"/>
        </w:trPr>
        <w:tc>
          <w:tcPr>
            <w:tcW w:w="3933" w:type="dxa"/>
            <w:gridSpan w:val="2"/>
            <w:tcBorders>
              <w:top w:val="nil"/>
              <w:left w:val="nil"/>
              <w:bottom w:val="single" w:sz="12" w:space="0" w:color="auto"/>
              <w:right w:val="nil"/>
            </w:tcBorders>
            <w:shd w:val="clear" w:color="auto" w:fill="auto"/>
            <w:noWrap/>
            <w:vAlign w:val="bottom"/>
          </w:tcPr>
          <w:p w14:paraId="63F80843" w14:textId="77777777" w:rsidR="00982915" w:rsidRDefault="00982915">
            <w:pPr>
              <w:spacing w:after="0" w:line="0" w:lineRule="atLeast"/>
              <w:rPr>
                <w:rFonts w:ascii="Arial" w:eastAsia="Times New Roman" w:hAnsi="Arial" w:cs="Arial"/>
                <w:color w:val="000000"/>
                <w:sz w:val="18"/>
                <w:szCs w:val="18"/>
                <w:lang w:eastAsia="zh-CN"/>
              </w:rPr>
            </w:pPr>
          </w:p>
        </w:tc>
        <w:tc>
          <w:tcPr>
            <w:tcW w:w="3133" w:type="dxa"/>
            <w:tcBorders>
              <w:top w:val="nil"/>
              <w:left w:val="nil"/>
              <w:bottom w:val="single" w:sz="12" w:space="0" w:color="auto"/>
              <w:right w:val="nil"/>
            </w:tcBorders>
            <w:shd w:val="clear" w:color="auto" w:fill="auto"/>
            <w:noWrap/>
            <w:vAlign w:val="bottom"/>
            <w:hideMark/>
          </w:tcPr>
          <w:p w14:paraId="3D61E2A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33" w:type="dxa"/>
            <w:tcBorders>
              <w:top w:val="nil"/>
              <w:left w:val="nil"/>
              <w:bottom w:val="single" w:sz="12" w:space="0" w:color="auto"/>
              <w:right w:val="nil"/>
            </w:tcBorders>
            <w:shd w:val="clear" w:color="auto" w:fill="auto"/>
            <w:noWrap/>
            <w:vAlign w:val="bottom"/>
            <w:hideMark/>
          </w:tcPr>
          <w:p w14:paraId="6F412B95" w14:textId="77777777" w:rsidR="00982915" w:rsidRDefault="00EB6F73">
            <w:pPr>
              <w:spacing w:after="0" w:line="0" w:lineRule="atLeast"/>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(Millions of yen)</w:t>
            </w:r>
          </w:p>
        </w:tc>
      </w:tr>
      <w:tr w:rsidR="00982915" w14:paraId="70148B9B" w14:textId="77777777">
        <w:trPr>
          <w:trHeight w:val="441"/>
        </w:trPr>
        <w:tc>
          <w:tcPr>
            <w:tcW w:w="3933" w:type="dxa"/>
            <w:gridSpan w:val="2"/>
            <w:tcBorders>
              <w:top w:val="single" w:sz="12" w:space="0" w:color="auto"/>
              <w:left w:val="nil"/>
              <w:bottom w:val="nil"/>
              <w:right w:val="nil"/>
            </w:tcBorders>
            <w:shd w:val="clear" w:color="auto" w:fill="auto"/>
            <w:noWrap/>
            <w:vAlign w:val="bottom"/>
            <w:hideMark/>
          </w:tcPr>
          <w:p w14:paraId="3FF22567" w14:textId="77777777" w:rsidR="00982915" w:rsidRDefault="00982915">
            <w:pPr>
              <w:spacing w:after="0" w:line="0" w:lineRule="atLeast"/>
              <w:rPr>
                <w:rFonts w:ascii="Arial" w:eastAsia="Times New Roman" w:hAnsi="Arial" w:cs="Arial"/>
                <w:color w:val="000000"/>
                <w:sz w:val="18"/>
                <w:szCs w:val="18"/>
                <w:lang w:eastAsia="zh-CN"/>
              </w:rPr>
            </w:pPr>
          </w:p>
        </w:tc>
        <w:tc>
          <w:tcPr>
            <w:tcW w:w="3133" w:type="dxa"/>
            <w:vMerge w:val="restart"/>
            <w:tcBorders>
              <w:top w:val="single" w:sz="12" w:space="0" w:color="auto"/>
              <w:left w:val="nil"/>
              <w:right w:val="nil"/>
            </w:tcBorders>
            <w:shd w:val="clear" w:color="auto" w:fill="auto"/>
            <w:noWrap/>
            <w:vAlign w:val="center"/>
            <w:hideMark/>
          </w:tcPr>
          <w:p w14:paraId="4791C4D2"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3Q FY2014</w:t>
            </w:r>
          </w:p>
          <w:p w14:paraId="3E38956A"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(Jan. 1, 2014 -</w:t>
            </w:r>
            <w:r>
              <w:rPr>
                <w:rFonts w:ascii="Arial" w:hAnsi="Arial" w:cs="Arial" w:hint="eastAsia"/>
                <w:color w:val="000000"/>
                <w:sz w:val="18"/>
                <w:szCs w:val="18"/>
              </w:rPr>
              <w:t xml:space="preserve"> </w:t>
            </w:r>
            <w:r>
              <w:rPr>
                <w:rFonts w:ascii="Arial" w:eastAsia="Times New Roman" w:hAnsi="Arial" w:cs="Arial"/>
                <w:color w:val="000000"/>
                <w:sz w:val="18"/>
                <w:szCs w:val="18"/>
                <w:lang w:eastAsia="zh-CN"/>
              </w:rPr>
              <w:t>Sept. 30, 2014)</w:t>
            </w:r>
          </w:p>
        </w:tc>
        <w:tc>
          <w:tcPr>
            <w:tcW w:w="3133" w:type="dxa"/>
            <w:vMerge w:val="restart"/>
            <w:tcBorders>
              <w:top w:val="single" w:sz="12" w:space="0" w:color="auto"/>
              <w:left w:val="nil"/>
              <w:right w:val="nil"/>
            </w:tcBorders>
            <w:shd w:val="clear" w:color="auto" w:fill="auto"/>
            <w:noWrap/>
            <w:vAlign w:val="center"/>
            <w:hideMark/>
          </w:tcPr>
          <w:p w14:paraId="1BC8D748"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3Q FY2015</w:t>
            </w:r>
          </w:p>
          <w:p w14:paraId="02F79B7C" w14:textId="77777777" w:rsidR="00982915" w:rsidRDefault="00EB6F73">
            <w:pPr>
              <w:spacing w:after="0" w:line="0" w:lineRule="atLeast"/>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(Jan. 1, 2015 -</w:t>
            </w:r>
            <w:r>
              <w:rPr>
                <w:rFonts w:ascii="Arial" w:hAnsi="Arial" w:cs="Arial" w:hint="eastAsia"/>
                <w:color w:val="000000"/>
                <w:sz w:val="18"/>
                <w:szCs w:val="18"/>
              </w:rPr>
              <w:t xml:space="preserve"> </w:t>
            </w:r>
            <w:r>
              <w:rPr>
                <w:rFonts w:ascii="Arial" w:eastAsia="Times New Roman" w:hAnsi="Arial" w:cs="Arial"/>
                <w:color w:val="000000"/>
                <w:sz w:val="18"/>
                <w:szCs w:val="18"/>
                <w:lang w:eastAsia="zh-CN"/>
              </w:rPr>
              <w:t>Sept. 30, 2015)</w:t>
            </w:r>
          </w:p>
        </w:tc>
      </w:tr>
      <w:tr w:rsidR="00982915" w14:paraId="4E6625DC" w14:textId="77777777">
        <w:trPr>
          <w:trHeight w:val="302"/>
        </w:trPr>
        <w:tc>
          <w:tcPr>
            <w:tcW w:w="3933" w:type="dxa"/>
            <w:gridSpan w:val="2"/>
            <w:tcBorders>
              <w:top w:val="nil"/>
              <w:left w:val="nil"/>
              <w:bottom w:val="single" w:sz="4" w:space="0" w:color="auto"/>
              <w:right w:val="nil"/>
            </w:tcBorders>
            <w:shd w:val="clear" w:color="auto" w:fill="auto"/>
            <w:noWrap/>
            <w:vAlign w:val="bottom"/>
            <w:hideMark/>
          </w:tcPr>
          <w:p w14:paraId="5F3CB5E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33" w:type="dxa"/>
            <w:vMerge/>
            <w:tcBorders>
              <w:left w:val="nil"/>
              <w:bottom w:val="single" w:sz="4" w:space="0" w:color="auto"/>
              <w:right w:val="nil"/>
            </w:tcBorders>
            <w:shd w:val="clear" w:color="auto" w:fill="auto"/>
            <w:noWrap/>
            <w:vAlign w:val="center"/>
            <w:hideMark/>
          </w:tcPr>
          <w:p w14:paraId="371BC579" w14:textId="77777777" w:rsidR="00982915" w:rsidRDefault="00982915">
            <w:pPr>
              <w:spacing w:after="0" w:line="0" w:lineRule="atLeast"/>
              <w:jc w:val="center"/>
              <w:rPr>
                <w:rFonts w:ascii="Arial" w:eastAsia="Times New Roman" w:hAnsi="Arial" w:cs="Arial"/>
                <w:color w:val="000000"/>
                <w:sz w:val="18"/>
                <w:szCs w:val="18"/>
                <w:lang w:eastAsia="zh-CN"/>
              </w:rPr>
            </w:pPr>
          </w:p>
        </w:tc>
        <w:tc>
          <w:tcPr>
            <w:tcW w:w="3133" w:type="dxa"/>
            <w:vMerge/>
            <w:tcBorders>
              <w:left w:val="nil"/>
              <w:bottom w:val="single" w:sz="4" w:space="0" w:color="auto"/>
              <w:right w:val="nil"/>
            </w:tcBorders>
            <w:shd w:val="clear" w:color="auto" w:fill="auto"/>
            <w:noWrap/>
            <w:vAlign w:val="center"/>
            <w:hideMark/>
          </w:tcPr>
          <w:p w14:paraId="3F738946" w14:textId="77777777" w:rsidR="00982915" w:rsidRDefault="00982915">
            <w:pPr>
              <w:spacing w:after="0" w:line="0" w:lineRule="atLeast"/>
              <w:jc w:val="center"/>
              <w:rPr>
                <w:rFonts w:ascii="Arial" w:eastAsia="Times New Roman" w:hAnsi="Arial" w:cs="Arial"/>
                <w:color w:val="000000"/>
                <w:sz w:val="18"/>
                <w:szCs w:val="18"/>
                <w:lang w:eastAsia="zh-CN"/>
              </w:rPr>
            </w:pPr>
          </w:p>
        </w:tc>
      </w:tr>
      <w:tr w:rsidR="00982915" w14:paraId="2A9CD543"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3FC7442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Net sales</w:t>
            </w:r>
          </w:p>
        </w:tc>
        <w:tc>
          <w:tcPr>
            <w:tcW w:w="3133" w:type="dxa"/>
            <w:tcBorders>
              <w:top w:val="nil"/>
              <w:left w:val="nil"/>
              <w:bottom w:val="nil"/>
              <w:right w:val="nil"/>
            </w:tcBorders>
            <w:shd w:val="clear" w:color="000000" w:fill="CCFFFF"/>
            <w:noWrap/>
            <w:vAlign w:val="bottom"/>
          </w:tcPr>
          <w:p w14:paraId="5A8FA20E" w14:textId="48DBFB84"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5348CAE7" w14:textId="1A9B0A0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18CA9F1"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5DAE40E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Cost of sales</w:t>
            </w:r>
          </w:p>
        </w:tc>
        <w:tc>
          <w:tcPr>
            <w:tcW w:w="3133" w:type="dxa"/>
            <w:tcBorders>
              <w:top w:val="nil"/>
              <w:left w:val="nil"/>
              <w:bottom w:val="single" w:sz="4" w:space="0" w:color="auto"/>
              <w:right w:val="nil"/>
            </w:tcBorders>
            <w:shd w:val="clear" w:color="auto" w:fill="auto"/>
            <w:noWrap/>
            <w:vAlign w:val="bottom"/>
          </w:tcPr>
          <w:p w14:paraId="00FCEEC2" w14:textId="31B05960"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0260403A" w14:textId="3A4CDC68"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20BDB33"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4C6062B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Gross profit</w:t>
            </w:r>
          </w:p>
        </w:tc>
        <w:tc>
          <w:tcPr>
            <w:tcW w:w="3133" w:type="dxa"/>
            <w:tcBorders>
              <w:top w:val="nil"/>
              <w:left w:val="nil"/>
              <w:bottom w:val="single" w:sz="4" w:space="0" w:color="auto"/>
              <w:right w:val="nil"/>
            </w:tcBorders>
            <w:shd w:val="clear" w:color="000000" w:fill="CCFFFF"/>
            <w:noWrap/>
            <w:vAlign w:val="bottom"/>
          </w:tcPr>
          <w:p w14:paraId="28B8081C" w14:textId="175176FF"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000000" w:fill="CCFFFF"/>
            <w:noWrap/>
            <w:vAlign w:val="bottom"/>
          </w:tcPr>
          <w:p w14:paraId="371BD6CA" w14:textId="55617850"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AAF2258"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5BE508D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Selling, general and administrative expenses</w:t>
            </w:r>
          </w:p>
        </w:tc>
        <w:tc>
          <w:tcPr>
            <w:tcW w:w="3133" w:type="dxa"/>
            <w:tcBorders>
              <w:top w:val="nil"/>
              <w:left w:val="nil"/>
              <w:bottom w:val="single" w:sz="4" w:space="0" w:color="auto"/>
              <w:right w:val="nil"/>
            </w:tcBorders>
            <w:shd w:val="clear" w:color="auto" w:fill="auto"/>
            <w:noWrap/>
            <w:vAlign w:val="bottom"/>
          </w:tcPr>
          <w:p w14:paraId="7C922894" w14:textId="0AB2D771"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0E2BA03E" w14:textId="2B4ED7A0"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ED177F8"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6BC5702B"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Operating income (loss)</w:t>
            </w:r>
          </w:p>
        </w:tc>
        <w:tc>
          <w:tcPr>
            <w:tcW w:w="3133" w:type="dxa"/>
            <w:tcBorders>
              <w:top w:val="nil"/>
              <w:left w:val="nil"/>
              <w:bottom w:val="nil"/>
              <w:right w:val="nil"/>
            </w:tcBorders>
            <w:shd w:val="clear" w:color="000000" w:fill="CCFFFF"/>
            <w:noWrap/>
            <w:vAlign w:val="bottom"/>
          </w:tcPr>
          <w:p w14:paraId="106D1889" w14:textId="31A9A624"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4452FD70" w14:textId="09FFB404"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2EEF59B"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04F44D7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Non-operating income</w:t>
            </w:r>
          </w:p>
        </w:tc>
        <w:tc>
          <w:tcPr>
            <w:tcW w:w="3133" w:type="dxa"/>
            <w:tcBorders>
              <w:top w:val="nil"/>
              <w:left w:val="nil"/>
              <w:bottom w:val="nil"/>
              <w:right w:val="nil"/>
            </w:tcBorders>
            <w:shd w:val="clear" w:color="auto" w:fill="auto"/>
            <w:noWrap/>
            <w:vAlign w:val="bottom"/>
          </w:tcPr>
          <w:p w14:paraId="2B4CCF69" w14:textId="77777777" w:rsidR="00982915" w:rsidRDefault="00982915">
            <w:pPr>
              <w:spacing w:after="0" w:line="0" w:lineRule="atLeas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auto" w:fill="auto"/>
            <w:noWrap/>
            <w:vAlign w:val="bottom"/>
          </w:tcPr>
          <w:p w14:paraId="3CBDA851" w14:textId="77777777" w:rsidR="00982915" w:rsidRDefault="00982915">
            <w:pPr>
              <w:spacing w:after="0" w:line="0" w:lineRule="atLeast"/>
              <w:rPr>
                <w:rFonts w:ascii="Arial" w:eastAsia="Times New Roman" w:hAnsi="Arial" w:cs="Arial"/>
                <w:color w:val="000000"/>
                <w:sz w:val="18"/>
                <w:szCs w:val="18"/>
                <w:lang w:eastAsia="zh-CN"/>
              </w:rPr>
            </w:pPr>
          </w:p>
        </w:tc>
      </w:tr>
      <w:tr w:rsidR="00982915" w14:paraId="693D2582" w14:textId="77777777" w:rsidTr="000741BD">
        <w:trPr>
          <w:trHeight w:val="301"/>
        </w:trPr>
        <w:tc>
          <w:tcPr>
            <w:tcW w:w="292" w:type="dxa"/>
            <w:tcBorders>
              <w:top w:val="nil"/>
              <w:left w:val="nil"/>
              <w:bottom w:val="nil"/>
              <w:right w:val="nil"/>
            </w:tcBorders>
            <w:shd w:val="clear" w:color="000000" w:fill="CCFFFF"/>
            <w:noWrap/>
            <w:vAlign w:val="bottom"/>
            <w:hideMark/>
          </w:tcPr>
          <w:p w14:paraId="34510E6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24A2701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Interest income</w:t>
            </w:r>
          </w:p>
        </w:tc>
        <w:tc>
          <w:tcPr>
            <w:tcW w:w="3133" w:type="dxa"/>
            <w:tcBorders>
              <w:top w:val="nil"/>
              <w:left w:val="nil"/>
              <w:bottom w:val="nil"/>
              <w:right w:val="nil"/>
            </w:tcBorders>
            <w:shd w:val="clear" w:color="000000" w:fill="CCFFFF"/>
            <w:noWrap/>
            <w:vAlign w:val="bottom"/>
          </w:tcPr>
          <w:p w14:paraId="06B3FB8E" w14:textId="3BA69D7C"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41C62318" w14:textId="54577EC1"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E205584" w14:textId="77777777" w:rsidTr="000741BD">
        <w:trPr>
          <w:trHeight w:val="301"/>
        </w:trPr>
        <w:tc>
          <w:tcPr>
            <w:tcW w:w="292" w:type="dxa"/>
            <w:tcBorders>
              <w:top w:val="nil"/>
              <w:left w:val="nil"/>
              <w:bottom w:val="nil"/>
              <w:right w:val="nil"/>
            </w:tcBorders>
            <w:shd w:val="clear" w:color="auto" w:fill="auto"/>
            <w:noWrap/>
            <w:vAlign w:val="bottom"/>
            <w:hideMark/>
          </w:tcPr>
          <w:p w14:paraId="69D4EB9A" w14:textId="77777777" w:rsidR="00982915" w:rsidRDefault="00982915">
            <w:pPr>
              <w:spacing w:after="0" w:line="0" w:lineRule="atLeast"/>
              <w:rPr>
                <w:rFonts w:ascii="Arial" w:eastAsia="Times New Roman" w:hAnsi="Arial" w:cs="Arial"/>
                <w:color w:val="000000"/>
                <w:sz w:val="18"/>
                <w:szCs w:val="18"/>
                <w:lang w:eastAsia="zh-CN"/>
              </w:rPr>
            </w:pPr>
          </w:p>
        </w:tc>
        <w:tc>
          <w:tcPr>
            <w:tcW w:w="3641" w:type="dxa"/>
            <w:tcBorders>
              <w:top w:val="nil"/>
              <w:left w:val="nil"/>
              <w:bottom w:val="nil"/>
              <w:right w:val="nil"/>
            </w:tcBorders>
            <w:shd w:val="clear" w:color="auto" w:fill="auto"/>
            <w:noWrap/>
            <w:vAlign w:val="bottom"/>
            <w:hideMark/>
          </w:tcPr>
          <w:p w14:paraId="285F6B0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Dividends income</w:t>
            </w:r>
          </w:p>
        </w:tc>
        <w:tc>
          <w:tcPr>
            <w:tcW w:w="3133" w:type="dxa"/>
            <w:tcBorders>
              <w:top w:val="nil"/>
              <w:left w:val="nil"/>
              <w:bottom w:val="nil"/>
              <w:right w:val="nil"/>
            </w:tcBorders>
            <w:shd w:val="clear" w:color="auto" w:fill="auto"/>
            <w:noWrap/>
            <w:vAlign w:val="bottom"/>
          </w:tcPr>
          <w:p w14:paraId="6F9AD871" w14:textId="1C545DDF"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auto" w:fill="auto"/>
            <w:noWrap/>
            <w:vAlign w:val="bottom"/>
          </w:tcPr>
          <w:p w14:paraId="226E5785" w14:textId="01F4830E"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EA5900F" w14:textId="77777777" w:rsidTr="000741BD">
        <w:trPr>
          <w:trHeight w:val="301"/>
        </w:trPr>
        <w:tc>
          <w:tcPr>
            <w:tcW w:w="292" w:type="dxa"/>
            <w:tcBorders>
              <w:top w:val="nil"/>
              <w:left w:val="nil"/>
              <w:bottom w:val="nil"/>
              <w:right w:val="nil"/>
            </w:tcBorders>
            <w:shd w:val="clear" w:color="000000" w:fill="CCFFFF"/>
            <w:noWrap/>
            <w:vAlign w:val="bottom"/>
            <w:hideMark/>
          </w:tcPr>
          <w:p w14:paraId="397D9EB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233FA72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Foreign exchange gains</w:t>
            </w:r>
          </w:p>
        </w:tc>
        <w:tc>
          <w:tcPr>
            <w:tcW w:w="3133" w:type="dxa"/>
            <w:tcBorders>
              <w:top w:val="nil"/>
              <w:left w:val="nil"/>
              <w:bottom w:val="nil"/>
              <w:right w:val="nil"/>
            </w:tcBorders>
            <w:shd w:val="clear" w:color="000000" w:fill="CCFFFF"/>
            <w:noWrap/>
            <w:vAlign w:val="bottom"/>
          </w:tcPr>
          <w:p w14:paraId="5BFD667A" w14:textId="3D20B040"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23513D33" w14:textId="6BA1E6D0"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295F753" w14:textId="77777777" w:rsidTr="000741BD">
        <w:trPr>
          <w:trHeight w:val="301"/>
        </w:trPr>
        <w:tc>
          <w:tcPr>
            <w:tcW w:w="292" w:type="dxa"/>
            <w:tcBorders>
              <w:top w:val="nil"/>
              <w:left w:val="nil"/>
              <w:bottom w:val="nil"/>
              <w:right w:val="nil"/>
            </w:tcBorders>
            <w:shd w:val="clear" w:color="auto" w:fill="auto"/>
            <w:noWrap/>
            <w:vAlign w:val="bottom"/>
            <w:hideMark/>
          </w:tcPr>
          <w:p w14:paraId="30949B0B" w14:textId="77777777" w:rsidR="00982915" w:rsidRDefault="00982915">
            <w:pPr>
              <w:spacing w:after="0" w:line="0" w:lineRule="atLeast"/>
              <w:rPr>
                <w:rFonts w:ascii="Arial" w:eastAsia="Times New Roman" w:hAnsi="Arial" w:cs="Arial"/>
                <w:color w:val="000000"/>
                <w:sz w:val="18"/>
                <w:szCs w:val="18"/>
                <w:lang w:eastAsia="zh-CN"/>
              </w:rPr>
            </w:pPr>
          </w:p>
        </w:tc>
        <w:tc>
          <w:tcPr>
            <w:tcW w:w="3641" w:type="dxa"/>
            <w:tcBorders>
              <w:top w:val="nil"/>
              <w:left w:val="nil"/>
              <w:bottom w:val="nil"/>
              <w:right w:val="nil"/>
            </w:tcBorders>
            <w:shd w:val="clear" w:color="auto" w:fill="auto"/>
            <w:noWrap/>
            <w:vAlign w:val="bottom"/>
            <w:hideMark/>
          </w:tcPr>
          <w:p w14:paraId="500CB7C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Equity in earnings of affiliates</w:t>
            </w:r>
          </w:p>
        </w:tc>
        <w:tc>
          <w:tcPr>
            <w:tcW w:w="3133" w:type="dxa"/>
            <w:tcBorders>
              <w:top w:val="nil"/>
              <w:left w:val="nil"/>
              <w:bottom w:val="nil"/>
              <w:right w:val="nil"/>
            </w:tcBorders>
            <w:shd w:val="clear" w:color="auto" w:fill="auto"/>
            <w:noWrap/>
            <w:vAlign w:val="bottom"/>
          </w:tcPr>
          <w:p w14:paraId="12F26140" w14:textId="35F993A7"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auto" w:fill="auto"/>
            <w:noWrap/>
            <w:vAlign w:val="bottom"/>
          </w:tcPr>
          <w:p w14:paraId="77898A92" w14:textId="2A16564D"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8D1A960" w14:textId="77777777" w:rsidTr="000741BD">
        <w:trPr>
          <w:trHeight w:val="301"/>
        </w:trPr>
        <w:tc>
          <w:tcPr>
            <w:tcW w:w="292" w:type="dxa"/>
            <w:tcBorders>
              <w:top w:val="nil"/>
              <w:left w:val="nil"/>
              <w:bottom w:val="nil"/>
              <w:right w:val="nil"/>
            </w:tcBorders>
            <w:shd w:val="clear" w:color="000000" w:fill="CCFFFF"/>
            <w:noWrap/>
            <w:vAlign w:val="bottom"/>
            <w:hideMark/>
          </w:tcPr>
          <w:p w14:paraId="7E3E27C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31881A04"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Other</w:t>
            </w:r>
          </w:p>
        </w:tc>
        <w:tc>
          <w:tcPr>
            <w:tcW w:w="3133" w:type="dxa"/>
            <w:tcBorders>
              <w:top w:val="nil"/>
              <w:left w:val="nil"/>
              <w:bottom w:val="single" w:sz="4" w:space="0" w:color="auto"/>
              <w:right w:val="nil"/>
            </w:tcBorders>
            <w:shd w:val="clear" w:color="000000" w:fill="CCFFFF"/>
            <w:noWrap/>
            <w:vAlign w:val="bottom"/>
          </w:tcPr>
          <w:p w14:paraId="4D5ACB84" w14:textId="637EFBD9"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000000" w:fill="CCFFFF"/>
            <w:noWrap/>
            <w:vAlign w:val="bottom"/>
          </w:tcPr>
          <w:p w14:paraId="2F3E6C68" w14:textId="42A232AD"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8DD2DE6" w14:textId="77777777" w:rsidTr="000741BD">
        <w:trPr>
          <w:trHeight w:val="301"/>
        </w:trPr>
        <w:tc>
          <w:tcPr>
            <w:tcW w:w="292" w:type="dxa"/>
            <w:tcBorders>
              <w:top w:val="nil"/>
              <w:left w:val="nil"/>
              <w:bottom w:val="nil"/>
              <w:right w:val="nil"/>
            </w:tcBorders>
            <w:shd w:val="clear" w:color="auto" w:fill="auto"/>
            <w:noWrap/>
            <w:vAlign w:val="bottom"/>
            <w:hideMark/>
          </w:tcPr>
          <w:p w14:paraId="6E5B8850" w14:textId="77777777" w:rsidR="00982915" w:rsidRDefault="00982915">
            <w:pPr>
              <w:spacing w:after="0" w:line="0" w:lineRule="atLeast"/>
              <w:rPr>
                <w:rFonts w:ascii="Arial" w:eastAsia="Times New Roman" w:hAnsi="Arial" w:cs="Arial"/>
                <w:color w:val="000000"/>
                <w:sz w:val="18"/>
                <w:szCs w:val="18"/>
                <w:lang w:eastAsia="zh-CN"/>
              </w:rPr>
            </w:pPr>
          </w:p>
        </w:tc>
        <w:tc>
          <w:tcPr>
            <w:tcW w:w="3641" w:type="dxa"/>
            <w:tcBorders>
              <w:top w:val="nil"/>
              <w:left w:val="nil"/>
              <w:bottom w:val="nil"/>
              <w:right w:val="nil"/>
            </w:tcBorders>
            <w:shd w:val="clear" w:color="auto" w:fill="auto"/>
            <w:noWrap/>
            <w:vAlign w:val="bottom"/>
            <w:hideMark/>
          </w:tcPr>
          <w:p w14:paraId="488946F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non-operating income</w:t>
            </w:r>
          </w:p>
        </w:tc>
        <w:tc>
          <w:tcPr>
            <w:tcW w:w="3133" w:type="dxa"/>
            <w:tcBorders>
              <w:top w:val="nil"/>
              <w:left w:val="nil"/>
              <w:bottom w:val="single" w:sz="4" w:space="0" w:color="auto"/>
              <w:right w:val="nil"/>
            </w:tcBorders>
            <w:shd w:val="clear" w:color="auto" w:fill="auto"/>
            <w:noWrap/>
            <w:vAlign w:val="bottom"/>
          </w:tcPr>
          <w:p w14:paraId="557567B2" w14:textId="5E7D18C5"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1418074F" w14:textId="1990AE58"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FCD5334"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5836C657"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Non-operating expenses</w:t>
            </w:r>
          </w:p>
        </w:tc>
        <w:tc>
          <w:tcPr>
            <w:tcW w:w="3133" w:type="dxa"/>
            <w:tcBorders>
              <w:top w:val="nil"/>
              <w:left w:val="nil"/>
              <w:bottom w:val="nil"/>
              <w:right w:val="nil"/>
            </w:tcBorders>
            <w:shd w:val="clear" w:color="000000" w:fill="CCFFFF"/>
            <w:noWrap/>
            <w:vAlign w:val="bottom"/>
          </w:tcPr>
          <w:p w14:paraId="4863E620" w14:textId="376AF85E" w:rsidR="00982915" w:rsidRDefault="00982915">
            <w:pPr>
              <w:spacing w:after="0" w:line="0" w:lineRule="atLeas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3B803064" w14:textId="002C1D41" w:rsidR="00982915" w:rsidRDefault="00982915">
            <w:pPr>
              <w:spacing w:after="0" w:line="0" w:lineRule="atLeast"/>
              <w:rPr>
                <w:rFonts w:ascii="Arial" w:eastAsia="Times New Roman" w:hAnsi="Arial" w:cs="Arial"/>
                <w:color w:val="000000"/>
                <w:sz w:val="18"/>
                <w:szCs w:val="18"/>
                <w:lang w:eastAsia="zh-CN"/>
              </w:rPr>
            </w:pPr>
          </w:p>
        </w:tc>
      </w:tr>
      <w:tr w:rsidR="00982915" w14:paraId="7FA8F888" w14:textId="77777777" w:rsidTr="000741BD">
        <w:trPr>
          <w:trHeight w:val="301"/>
        </w:trPr>
        <w:tc>
          <w:tcPr>
            <w:tcW w:w="292" w:type="dxa"/>
            <w:tcBorders>
              <w:top w:val="nil"/>
              <w:left w:val="nil"/>
              <w:bottom w:val="nil"/>
              <w:right w:val="nil"/>
            </w:tcBorders>
            <w:shd w:val="clear" w:color="auto" w:fill="auto"/>
            <w:noWrap/>
            <w:vAlign w:val="bottom"/>
            <w:hideMark/>
          </w:tcPr>
          <w:p w14:paraId="42FDDACA" w14:textId="77777777" w:rsidR="00982915" w:rsidRDefault="00982915">
            <w:pPr>
              <w:spacing w:after="0" w:line="0" w:lineRule="atLeast"/>
              <w:rPr>
                <w:rFonts w:ascii="Arial" w:eastAsia="Times New Roman" w:hAnsi="Arial" w:cs="Arial"/>
                <w:color w:val="000000"/>
                <w:sz w:val="18"/>
                <w:szCs w:val="18"/>
                <w:lang w:eastAsia="zh-CN"/>
              </w:rPr>
            </w:pPr>
          </w:p>
        </w:tc>
        <w:tc>
          <w:tcPr>
            <w:tcW w:w="3641" w:type="dxa"/>
            <w:tcBorders>
              <w:top w:val="nil"/>
              <w:left w:val="nil"/>
              <w:bottom w:val="nil"/>
              <w:right w:val="nil"/>
            </w:tcBorders>
            <w:shd w:val="clear" w:color="auto" w:fill="auto"/>
            <w:noWrap/>
            <w:vAlign w:val="bottom"/>
            <w:hideMark/>
          </w:tcPr>
          <w:p w14:paraId="1FBF5C9D"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Interest expenses</w:t>
            </w:r>
          </w:p>
        </w:tc>
        <w:tc>
          <w:tcPr>
            <w:tcW w:w="3133" w:type="dxa"/>
            <w:tcBorders>
              <w:top w:val="nil"/>
              <w:left w:val="nil"/>
              <w:bottom w:val="nil"/>
              <w:right w:val="nil"/>
            </w:tcBorders>
            <w:shd w:val="clear" w:color="auto" w:fill="auto"/>
            <w:noWrap/>
            <w:vAlign w:val="bottom"/>
          </w:tcPr>
          <w:p w14:paraId="0B50B5BA" w14:textId="754B6ED5"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auto" w:fill="auto"/>
            <w:noWrap/>
            <w:vAlign w:val="bottom"/>
          </w:tcPr>
          <w:p w14:paraId="32584702" w14:textId="1DC6F901"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030727C" w14:textId="77777777" w:rsidTr="000741BD">
        <w:trPr>
          <w:trHeight w:val="301"/>
        </w:trPr>
        <w:tc>
          <w:tcPr>
            <w:tcW w:w="292" w:type="dxa"/>
            <w:tcBorders>
              <w:top w:val="nil"/>
              <w:left w:val="nil"/>
              <w:bottom w:val="nil"/>
              <w:right w:val="nil"/>
            </w:tcBorders>
            <w:shd w:val="clear" w:color="000000" w:fill="CCFFFF"/>
            <w:noWrap/>
            <w:vAlign w:val="bottom"/>
            <w:hideMark/>
          </w:tcPr>
          <w:p w14:paraId="10536D5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6B95BCA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Other</w:t>
            </w:r>
          </w:p>
        </w:tc>
        <w:tc>
          <w:tcPr>
            <w:tcW w:w="3133" w:type="dxa"/>
            <w:tcBorders>
              <w:top w:val="nil"/>
              <w:left w:val="nil"/>
              <w:bottom w:val="nil"/>
              <w:right w:val="nil"/>
            </w:tcBorders>
            <w:shd w:val="clear" w:color="000000" w:fill="CCFFFF"/>
            <w:noWrap/>
            <w:vAlign w:val="bottom"/>
          </w:tcPr>
          <w:p w14:paraId="6A723E28" w14:textId="7C05CE11"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3BC7846F" w14:textId="69E7C88E"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ACD0E30" w14:textId="77777777" w:rsidTr="000741BD">
        <w:trPr>
          <w:trHeight w:val="301"/>
        </w:trPr>
        <w:tc>
          <w:tcPr>
            <w:tcW w:w="292" w:type="dxa"/>
            <w:tcBorders>
              <w:top w:val="nil"/>
              <w:left w:val="nil"/>
              <w:bottom w:val="nil"/>
              <w:right w:val="nil"/>
            </w:tcBorders>
            <w:shd w:val="clear" w:color="auto" w:fill="auto"/>
            <w:noWrap/>
            <w:vAlign w:val="bottom"/>
            <w:hideMark/>
          </w:tcPr>
          <w:p w14:paraId="0DA4E8ED" w14:textId="77777777" w:rsidR="00982915" w:rsidRDefault="00982915">
            <w:pPr>
              <w:spacing w:after="0" w:line="0" w:lineRule="atLeast"/>
              <w:rPr>
                <w:rFonts w:ascii="Arial" w:eastAsia="Times New Roman" w:hAnsi="Arial" w:cs="Arial"/>
                <w:color w:val="000000"/>
                <w:sz w:val="18"/>
                <w:szCs w:val="18"/>
                <w:lang w:eastAsia="zh-CN"/>
              </w:rPr>
            </w:pPr>
          </w:p>
        </w:tc>
        <w:tc>
          <w:tcPr>
            <w:tcW w:w="3641" w:type="dxa"/>
            <w:tcBorders>
              <w:top w:val="nil"/>
              <w:left w:val="nil"/>
              <w:bottom w:val="nil"/>
              <w:right w:val="nil"/>
            </w:tcBorders>
            <w:shd w:val="clear" w:color="auto" w:fill="auto"/>
            <w:noWrap/>
            <w:vAlign w:val="bottom"/>
            <w:hideMark/>
          </w:tcPr>
          <w:p w14:paraId="0A88728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non-operating expenses</w:t>
            </w:r>
          </w:p>
        </w:tc>
        <w:tc>
          <w:tcPr>
            <w:tcW w:w="3133" w:type="dxa"/>
            <w:tcBorders>
              <w:top w:val="nil"/>
              <w:left w:val="nil"/>
              <w:bottom w:val="single" w:sz="4" w:space="0" w:color="auto"/>
              <w:right w:val="nil"/>
            </w:tcBorders>
            <w:shd w:val="clear" w:color="auto" w:fill="auto"/>
            <w:noWrap/>
            <w:vAlign w:val="bottom"/>
          </w:tcPr>
          <w:p w14:paraId="2F9ED294" w14:textId="1A75D1AE"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7B014550" w14:textId="05BF6441"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B388325"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27A638A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Ordinary income (loss)</w:t>
            </w:r>
          </w:p>
        </w:tc>
        <w:tc>
          <w:tcPr>
            <w:tcW w:w="3133" w:type="dxa"/>
            <w:tcBorders>
              <w:top w:val="nil"/>
              <w:left w:val="nil"/>
              <w:bottom w:val="single" w:sz="4" w:space="0" w:color="auto"/>
              <w:right w:val="nil"/>
            </w:tcBorders>
            <w:shd w:val="clear" w:color="000000" w:fill="CCFFFF"/>
            <w:noWrap/>
            <w:vAlign w:val="bottom"/>
          </w:tcPr>
          <w:p w14:paraId="2ED84A31" w14:textId="6C2CC490"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000000" w:fill="CCFFFF"/>
            <w:noWrap/>
            <w:vAlign w:val="bottom"/>
          </w:tcPr>
          <w:p w14:paraId="3AA30661" w14:textId="34F9BF4D"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5785518B"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620BD5FE"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Extraordinary income</w:t>
            </w:r>
          </w:p>
        </w:tc>
        <w:tc>
          <w:tcPr>
            <w:tcW w:w="3133" w:type="dxa"/>
            <w:tcBorders>
              <w:top w:val="nil"/>
              <w:left w:val="nil"/>
              <w:bottom w:val="nil"/>
              <w:right w:val="nil"/>
            </w:tcBorders>
            <w:shd w:val="clear" w:color="auto" w:fill="auto"/>
            <w:noWrap/>
            <w:vAlign w:val="bottom"/>
          </w:tcPr>
          <w:p w14:paraId="7B1D49E9" w14:textId="77777777" w:rsidR="00982915" w:rsidRDefault="00982915">
            <w:pPr>
              <w:spacing w:after="0" w:line="0" w:lineRule="atLeas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auto" w:fill="auto"/>
            <w:noWrap/>
            <w:vAlign w:val="bottom"/>
          </w:tcPr>
          <w:p w14:paraId="2DA96B47" w14:textId="77777777" w:rsidR="00982915" w:rsidRDefault="00982915">
            <w:pPr>
              <w:spacing w:after="0" w:line="0" w:lineRule="atLeast"/>
              <w:rPr>
                <w:rFonts w:ascii="Arial" w:eastAsia="Times New Roman" w:hAnsi="Arial" w:cs="Arial"/>
                <w:color w:val="000000"/>
                <w:sz w:val="18"/>
                <w:szCs w:val="18"/>
                <w:lang w:eastAsia="zh-CN"/>
              </w:rPr>
            </w:pPr>
          </w:p>
        </w:tc>
      </w:tr>
      <w:tr w:rsidR="00982915" w14:paraId="10D700D5" w14:textId="77777777" w:rsidTr="000741BD">
        <w:trPr>
          <w:trHeight w:val="301"/>
        </w:trPr>
        <w:tc>
          <w:tcPr>
            <w:tcW w:w="292" w:type="dxa"/>
            <w:tcBorders>
              <w:top w:val="nil"/>
              <w:left w:val="nil"/>
              <w:bottom w:val="nil"/>
              <w:right w:val="nil"/>
            </w:tcBorders>
            <w:shd w:val="clear" w:color="000000" w:fill="CCFFFF"/>
            <w:noWrap/>
            <w:vAlign w:val="bottom"/>
            <w:hideMark/>
          </w:tcPr>
          <w:p w14:paraId="309617A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0916AA4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Gain on sales of noncurrent assets</w:t>
            </w:r>
          </w:p>
        </w:tc>
        <w:tc>
          <w:tcPr>
            <w:tcW w:w="3133" w:type="dxa"/>
            <w:tcBorders>
              <w:top w:val="nil"/>
              <w:left w:val="nil"/>
              <w:bottom w:val="nil"/>
              <w:right w:val="nil"/>
            </w:tcBorders>
            <w:shd w:val="clear" w:color="000000" w:fill="CCFFFF"/>
            <w:noWrap/>
            <w:vAlign w:val="bottom"/>
          </w:tcPr>
          <w:p w14:paraId="458E3CC1" w14:textId="4CB3CD77"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7CBD9A57" w14:textId="0C7DAF1E"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B06491D" w14:textId="77777777" w:rsidTr="000741BD">
        <w:trPr>
          <w:trHeight w:val="301"/>
        </w:trPr>
        <w:tc>
          <w:tcPr>
            <w:tcW w:w="292" w:type="dxa"/>
            <w:tcBorders>
              <w:top w:val="nil"/>
              <w:left w:val="nil"/>
              <w:bottom w:val="nil"/>
              <w:right w:val="nil"/>
            </w:tcBorders>
            <w:shd w:val="clear" w:color="auto" w:fill="auto"/>
            <w:noWrap/>
            <w:vAlign w:val="bottom"/>
            <w:hideMark/>
          </w:tcPr>
          <w:p w14:paraId="23479D5C" w14:textId="77777777" w:rsidR="00982915" w:rsidRDefault="00982915">
            <w:pPr>
              <w:spacing w:after="0" w:line="0" w:lineRule="atLeast"/>
              <w:rPr>
                <w:rFonts w:ascii="Arial" w:eastAsia="Times New Roman" w:hAnsi="Arial" w:cs="Arial"/>
                <w:color w:val="000000"/>
                <w:sz w:val="18"/>
                <w:szCs w:val="18"/>
                <w:lang w:eastAsia="zh-CN"/>
              </w:rPr>
            </w:pPr>
          </w:p>
        </w:tc>
        <w:tc>
          <w:tcPr>
            <w:tcW w:w="3641" w:type="dxa"/>
            <w:tcBorders>
              <w:top w:val="nil"/>
              <w:left w:val="nil"/>
              <w:bottom w:val="nil"/>
              <w:right w:val="nil"/>
            </w:tcBorders>
            <w:shd w:val="clear" w:color="auto" w:fill="auto"/>
            <w:noWrap/>
            <w:vAlign w:val="bottom"/>
            <w:hideMark/>
          </w:tcPr>
          <w:p w14:paraId="0D6C8BD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Other</w:t>
            </w:r>
          </w:p>
        </w:tc>
        <w:tc>
          <w:tcPr>
            <w:tcW w:w="3133" w:type="dxa"/>
            <w:tcBorders>
              <w:top w:val="nil"/>
              <w:left w:val="nil"/>
              <w:bottom w:val="single" w:sz="4" w:space="0" w:color="auto"/>
              <w:right w:val="nil"/>
            </w:tcBorders>
            <w:shd w:val="clear" w:color="auto" w:fill="auto"/>
            <w:noWrap/>
            <w:vAlign w:val="bottom"/>
          </w:tcPr>
          <w:p w14:paraId="183CB003" w14:textId="70071170"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6B3929D2" w14:textId="28DE3795"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6286CB78" w14:textId="77777777" w:rsidTr="000741BD">
        <w:trPr>
          <w:trHeight w:val="301"/>
        </w:trPr>
        <w:tc>
          <w:tcPr>
            <w:tcW w:w="292" w:type="dxa"/>
            <w:tcBorders>
              <w:top w:val="nil"/>
              <w:left w:val="nil"/>
              <w:bottom w:val="nil"/>
              <w:right w:val="nil"/>
            </w:tcBorders>
            <w:shd w:val="clear" w:color="000000" w:fill="CCFFFF"/>
            <w:noWrap/>
            <w:vAlign w:val="bottom"/>
            <w:hideMark/>
          </w:tcPr>
          <w:p w14:paraId="0B2F9FB3"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3D0E586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extraordinary income</w:t>
            </w:r>
          </w:p>
        </w:tc>
        <w:tc>
          <w:tcPr>
            <w:tcW w:w="3133" w:type="dxa"/>
            <w:tcBorders>
              <w:top w:val="nil"/>
              <w:left w:val="nil"/>
              <w:bottom w:val="single" w:sz="4" w:space="0" w:color="auto"/>
              <w:right w:val="nil"/>
            </w:tcBorders>
            <w:shd w:val="clear" w:color="000000" w:fill="CCFFFF"/>
            <w:noWrap/>
            <w:vAlign w:val="bottom"/>
          </w:tcPr>
          <w:p w14:paraId="6A62B1CC" w14:textId="3B5CEDED"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000000" w:fill="CCFFFF"/>
            <w:noWrap/>
            <w:vAlign w:val="bottom"/>
          </w:tcPr>
          <w:p w14:paraId="674BD066" w14:textId="5A34EC5F"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77A6FB0"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6838A27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Extraordinary loss</w:t>
            </w:r>
          </w:p>
        </w:tc>
        <w:tc>
          <w:tcPr>
            <w:tcW w:w="3133" w:type="dxa"/>
            <w:tcBorders>
              <w:top w:val="nil"/>
              <w:left w:val="nil"/>
              <w:bottom w:val="nil"/>
              <w:right w:val="nil"/>
            </w:tcBorders>
            <w:shd w:val="clear" w:color="auto" w:fill="auto"/>
            <w:noWrap/>
            <w:vAlign w:val="bottom"/>
          </w:tcPr>
          <w:p w14:paraId="5FBCBFCF" w14:textId="77777777" w:rsidR="00982915" w:rsidRDefault="00982915">
            <w:pPr>
              <w:spacing w:after="0" w:line="0" w:lineRule="atLeas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auto" w:fill="auto"/>
            <w:noWrap/>
            <w:vAlign w:val="bottom"/>
          </w:tcPr>
          <w:p w14:paraId="67176494" w14:textId="77777777" w:rsidR="00982915" w:rsidRDefault="00982915">
            <w:pPr>
              <w:spacing w:after="0" w:line="0" w:lineRule="atLeast"/>
              <w:rPr>
                <w:rFonts w:ascii="Arial" w:eastAsia="Times New Roman" w:hAnsi="Arial" w:cs="Arial"/>
                <w:color w:val="000000"/>
                <w:sz w:val="18"/>
                <w:szCs w:val="18"/>
                <w:lang w:eastAsia="zh-CN"/>
              </w:rPr>
            </w:pPr>
          </w:p>
        </w:tc>
      </w:tr>
      <w:tr w:rsidR="00982915" w14:paraId="7C970C50" w14:textId="77777777" w:rsidTr="000741BD">
        <w:trPr>
          <w:trHeight w:val="301"/>
        </w:trPr>
        <w:tc>
          <w:tcPr>
            <w:tcW w:w="292" w:type="dxa"/>
            <w:tcBorders>
              <w:top w:val="nil"/>
              <w:left w:val="nil"/>
              <w:bottom w:val="nil"/>
              <w:right w:val="nil"/>
            </w:tcBorders>
            <w:shd w:val="clear" w:color="000000" w:fill="CCFFFF"/>
            <w:noWrap/>
            <w:vAlign w:val="bottom"/>
            <w:hideMark/>
          </w:tcPr>
          <w:p w14:paraId="7F1B785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5BE3C345"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Amortization of goodwill</w:t>
            </w:r>
          </w:p>
        </w:tc>
        <w:tc>
          <w:tcPr>
            <w:tcW w:w="3133" w:type="dxa"/>
            <w:tcBorders>
              <w:top w:val="nil"/>
              <w:left w:val="nil"/>
              <w:bottom w:val="nil"/>
              <w:right w:val="nil"/>
            </w:tcBorders>
            <w:shd w:val="clear" w:color="000000" w:fill="CCFFFF"/>
            <w:noWrap/>
            <w:vAlign w:val="bottom"/>
          </w:tcPr>
          <w:p w14:paraId="4BC7140B" w14:textId="31605F4E"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nil"/>
              <w:right w:val="nil"/>
            </w:tcBorders>
            <w:shd w:val="clear" w:color="000000" w:fill="CCFFFF"/>
            <w:noWrap/>
            <w:vAlign w:val="bottom"/>
          </w:tcPr>
          <w:p w14:paraId="2F58CC01" w14:textId="772068C6"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F3E3921" w14:textId="77777777" w:rsidTr="000741BD">
        <w:trPr>
          <w:trHeight w:val="301"/>
        </w:trPr>
        <w:tc>
          <w:tcPr>
            <w:tcW w:w="292" w:type="dxa"/>
            <w:tcBorders>
              <w:top w:val="nil"/>
              <w:left w:val="nil"/>
              <w:bottom w:val="nil"/>
              <w:right w:val="nil"/>
            </w:tcBorders>
            <w:shd w:val="clear" w:color="auto" w:fill="auto"/>
            <w:noWrap/>
            <w:vAlign w:val="bottom"/>
            <w:hideMark/>
          </w:tcPr>
          <w:p w14:paraId="49C063FB" w14:textId="77777777" w:rsidR="00982915" w:rsidRDefault="00982915">
            <w:pPr>
              <w:spacing w:after="0" w:line="0" w:lineRule="atLeast"/>
              <w:rPr>
                <w:rFonts w:ascii="Arial" w:eastAsia="Times New Roman" w:hAnsi="Arial" w:cs="Arial"/>
                <w:color w:val="000000"/>
                <w:sz w:val="18"/>
                <w:szCs w:val="18"/>
                <w:lang w:eastAsia="zh-CN"/>
              </w:rPr>
            </w:pPr>
          </w:p>
        </w:tc>
        <w:tc>
          <w:tcPr>
            <w:tcW w:w="3641" w:type="dxa"/>
            <w:tcBorders>
              <w:top w:val="nil"/>
              <w:left w:val="nil"/>
              <w:bottom w:val="nil"/>
              <w:right w:val="nil"/>
            </w:tcBorders>
            <w:shd w:val="clear" w:color="auto" w:fill="auto"/>
            <w:noWrap/>
            <w:vAlign w:val="bottom"/>
            <w:hideMark/>
          </w:tcPr>
          <w:p w14:paraId="74C86507"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Other</w:t>
            </w:r>
          </w:p>
        </w:tc>
        <w:tc>
          <w:tcPr>
            <w:tcW w:w="3133" w:type="dxa"/>
            <w:tcBorders>
              <w:top w:val="nil"/>
              <w:left w:val="nil"/>
              <w:bottom w:val="single" w:sz="4" w:space="0" w:color="auto"/>
              <w:right w:val="nil"/>
            </w:tcBorders>
            <w:shd w:val="clear" w:color="auto" w:fill="auto"/>
            <w:noWrap/>
            <w:vAlign w:val="bottom"/>
          </w:tcPr>
          <w:p w14:paraId="46D8BD5F" w14:textId="5F36B7D5"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03E5BADC" w14:textId="5934F20D"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1A0CEC5" w14:textId="77777777" w:rsidTr="000741BD">
        <w:trPr>
          <w:trHeight w:val="301"/>
        </w:trPr>
        <w:tc>
          <w:tcPr>
            <w:tcW w:w="292" w:type="dxa"/>
            <w:tcBorders>
              <w:top w:val="nil"/>
              <w:left w:val="nil"/>
              <w:bottom w:val="nil"/>
              <w:right w:val="nil"/>
            </w:tcBorders>
            <w:shd w:val="clear" w:color="000000" w:fill="CCFFFF"/>
            <w:noWrap/>
            <w:vAlign w:val="bottom"/>
            <w:hideMark/>
          </w:tcPr>
          <w:p w14:paraId="31226B19"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641" w:type="dxa"/>
            <w:tcBorders>
              <w:top w:val="nil"/>
              <w:left w:val="nil"/>
              <w:bottom w:val="nil"/>
              <w:right w:val="nil"/>
            </w:tcBorders>
            <w:shd w:val="clear" w:color="000000" w:fill="CCFFFF"/>
            <w:noWrap/>
            <w:vAlign w:val="bottom"/>
            <w:hideMark/>
          </w:tcPr>
          <w:p w14:paraId="10737C3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extraordinary loss</w:t>
            </w:r>
          </w:p>
        </w:tc>
        <w:tc>
          <w:tcPr>
            <w:tcW w:w="3133" w:type="dxa"/>
            <w:tcBorders>
              <w:top w:val="nil"/>
              <w:left w:val="nil"/>
              <w:bottom w:val="single" w:sz="4" w:space="0" w:color="auto"/>
              <w:right w:val="nil"/>
            </w:tcBorders>
            <w:shd w:val="clear" w:color="000000" w:fill="CCFFFF"/>
            <w:noWrap/>
            <w:vAlign w:val="bottom"/>
          </w:tcPr>
          <w:p w14:paraId="39704309" w14:textId="54AF3C14"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000000" w:fill="CCFFFF"/>
            <w:noWrap/>
            <w:vAlign w:val="bottom"/>
          </w:tcPr>
          <w:p w14:paraId="22C884F1" w14:textId="513761C9"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4FA19491"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11291E68"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Net quarterly income (loss) before taxes and other adjustments</w:t>
            </w:r>
          </w:p>
        </w:tc>
        <w:tc>
          <w:tcPr>
            <w:tcW w:w="3133" w:type="dxa"/>
            <w:tcBorders>
              <w:top w:val="nil"/>
              <w:left w:val="nil"/>
              <w:bottom w:val="single" w:sz="4" w:space="0" w:color="auto"/>
              <w:right w:val="nil"/>
            </w:tcBorders>
            <w:shd w:val="clear" w:color="auto" w:fill="auto"/>
            <w:noWrap/>
            <w:vAlign w:val="bottom"/>
          </w:tcPr>
          <w:p w14:paraId="71803028" w14:textId="6A219788"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5DC45299" w14:textId="61A09FDC"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3EA1D15E"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04CD687A"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Income taxes-current</w:t>
            </w:r>
          </w:p>
        </w:tc>
        <w:tc>
          <w:tcPr>
            <w:tcW w:w="3133" w:type="dxa"/>
            <w:tcBorders>
              <w:top w:val="single" w:sz="4" w:space="0" w:color="auto"/>
              <w:left w:val="nil"/>
              <w:bottom w:val="nil"/>
              <w:right w:val="nil"/>
            </w:tcBorders>
            <w:shd w:val="clear" w:color="000000" w:fill="CCFFFF"/>
            <w:noWrap/>
            <w:vAlign w:val="bottom"/>
          </w:tcPr>
          <w:p w14:paraId="572DD614" w14:textId="31B09EEF"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single" w:sz="4" w:space="0" w:color="auto"/>
              <w:left w:val="nil"/>
              <w:bottom w:val="nil"/>
              <w:right w:val="nil"/>
            </w:tcBorders>
            <w:shd w:val="clear" w:color="000000" w:fill="CCFFFF"/>
            <w:noWrap/>
            <w:vAlign w:val="bottom"/>
          </w:tcPr>
          <w:p w14:paraId="147A9B3B" w14:textId="25BF29BB"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77240CDA"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60E9E00F"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Income taxes-deferred</w:t>
            </w:r>
          </w:p>
        </w:tc>
        <w:tc>
          <w:tcPr>
            <w:tcW w:w="3133" w:type="dxa"/>
            <w:tcBorders>
              <w:top w:val="nil"/>
              <w:left w:val="nil"/>
              <w:bottom w:val="single" w:sz="4" w:space="0" w:color="auto"/>
              <w:right w:val="nil"/>
            </w:tcBorders>
            <w:shd w:val="clear" w:color="auto" w:fill="auto"/>
            <w:noWrap/>
            <w:vAlign w:val="bottom"/>
          </w:tcPr>
          <w:p w14:paraId="07458249" w14:textId="7FB8578C"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10A3CE0A" w14:textId="5FCE12E9"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01541303"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3D0E026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income taxes</w:t>
            </w:r>
          </w:p>
        </w:tc>
        <w:tc>
          <w:tcPr>
            <w:tcW w:w="3133" w:type="dxa"/>
            <w:tcBorders>
              <w:top w:val="nil"/>
              <w:left w:val="nil"/>
              <w:bottom w:val="single" w:sz="4" w:space="0" w:color="auto"/>
              <w:right w:val="nil"/>
            </w:tcBorders>
            <w:shd w:val="clear" w:color="000000" w:fill="CCFFFF"/>
            <w:noWrap/>
            <w:vAlign w:val="bottom"/>
          </w:tcPr>
          <w:p w14:paraId="5D7E0E64" w14:textId="4947C514"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000000" w:fill="CCFFFF"/>
            <w:noWrap/>
            <w:vAlign w:val="bottom"/>
          </w:tcPr>
          <w:p w14:paraId="47FAF349" w14:textId="5E038D12"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15FE3D14"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116A0540"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Income before minority interests (loss)</w:t>
            </w:r>
          </w:p>
        </w:tc>
        <w:tc>
          <w:tcPr>
            <w:tcW w:w="3133" w:type="dxa"/>
            <w:tcBorders>
              <w:top w:val="nil"/>
              <w:left w:val="nil"/>
              <w:bottom w:val="single" w:sz="4" w:space="0" w:color="auto"/>
              <w:right w:val="nil"/>
            </w:tcBorders>
            <w:shd w:val="clear" w:color="auto" w:fill="auto"/>
            <w:noWrap/>
            <w:vAlign w:val="bottom"/>
          </w:tcPr>
          <w:p w14:paraId="2B5833B5" w14:textId="4B2C7B79"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71C4625B" w14:textId="61606C6D"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25CAA548" w14:textId="77777777" w:rsidTr="000741BD">
        <w:trPr>
          <w:trHeight w:val="301"/>
        </w:trPr>
        <w:tc>
          <w:tcPr>
            <w:tcW w:w="3933" w:type="dxa"/>
            <w:gridSpan w:val="2"/>
            <w:tcBorders>
              <w:top w:val="nil"/>
              <w:left w:val="nil"/>
              <w:bottom w:val="nil"/>
              <w:right w:val="nil"/>
            </w:tcBorders>
            <w:shd w:val="clear" w:color="000000" w:fill="CCFFFF"/>
            <w:noWrap/>
            <w:vAlign w:val="bottom"/>
            <w:hideMark/>
          </w:tcPr>
          <w:p w14:paraId="5579D572"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Minority interest income (loss)</w:t>
            </w:r>
          </w:p>
        </w:tc>
        <w:tc>
          <w:tcPr>
            <w:tcW w:w="3133" w:type="dxa"/>
            <w:tcBorders>
              <w:top w:val="nil"/>
              <w:left w:val="nil"/>
              <w:bottom w:val="single" w:sz="4" w:space="0" w:color="auto"/>
              <w:right w:val="nil"/>
            </w:tcBorders>
            <w:shd w:val="clear" w:color="000000" w:fill="CCFFFF"/>
            <w:noWrap/>
            <w:vAlign w:val="bottom"/>
          </w:tcPr>
          <w:p w14:paraId="3DFE648F" w14:textId="2E731C6A"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000000" w:fill="CCFFFF"/>
            <w:noWrap/>
            <w:vAlign w:val="bottom"/>
          </w:tcPr>
          <w:p w14:paraId="63649C3C" w14:textId="04899DB0" w:rsidR="00982915" w:rsidRDefault="00982915">
            <w:pPr>
              <w:spacing w:after="0" w:line="0" w:lineRule="atLeast"/>
              <w:jc w:val="right"/>
              <w:rPr>
                <w:rFonts w:ascii="Arial" w:eastAsia="Times New Roman" w:hAnsi="Arial" w:cs="Arial"/>
                <w:color w:val="000000"/>
                <w:sz w:val="18"/>
                <w:szCs w:val="18"/>
                <w:lang w:eastAsia="zh-CN"/>
              </w:rPr>
            </w:pPr>
          </w:p>
        </w:tc>
      </w:tr>
      <w:tr w:rsidR="00982915" w14:paraId="239A1874" w14:textId="77777777" w:rsidTr="000741BD">
        <w:trPr>
          <w:trHeight w:val="301"/>
        </w:trPr>
        <w:tc>
          <w:tcPr>
            <w:tcW w:w="3933" w:type="dxa"/>
            <w:gridSpan w:val="2"/>
            <w:tcBorders>
              <w:top w:val="nil"/>
              <w:left w:val="nil"/>
              <w:bottom w:val="nil"/>
              <w:right w:val="nil"/>
            </w:tcBorders>
            <w:shd w:val="clear" w:color="auto" w:fill="auto"/>
            <w:noWrap/>
            <w:vAlign w:val="bottom"/>
            <w:hideMark/>
          </w:tcPr>
          <w:p w14:paraId="6A337BD1" w14:textId="77777777" w:rsidR="00982915" w:rsidRDefault="00EB6F73">
            <w:pPr>
              <w:spacing w:after="0" w:line="0" w:lineRule="atLeas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Net income (loss)</w:t>
            </w:r>
          </w:p>
        </w:tc>
        <w:tc>
          <w:tcPr>
            <w:tcW w:w="3133" w:type="dxa"/>
            <w:tcBorders>
              <w:top w:val="nil"/>
              <w:left w:val="nil"/>
              <w:bottom w:val="single" w:sz="4" w:space="0" w:color="auto"/>
              <w:right w:val="nil"/>
            </w:tcBorders>
            <w:shd w:val="clear" w:color="auto" w:fill="auto"/>
            <w:noWrap/>
            <w:vAlign w:val="bottom"/>
          </w:tcPr>
          <w:p w14:paraId="5421F7C3" w14:textId="0F461E1B" w:rsidR="00982915" w:rsidRDefault="00982915">
            <w:pPr>
              <w:spacing w:after="0" w:line="0" w:lineRule="atLeast"/>
              <w:jc w:val="right"/>
              <w:rPr>
                <w:rFonts w:ascii="Arial" w:eastAsia="Times New Roman" w:hAnsi="Arial" w:cs="Arial"/>
                <w:color w:val="000000"/>
                <w:sz w:val="18"/>
                <w:szCs w:val="18"/>
                <w:lang w:eastAsia="zh-CN"/>
              </w:rPr>
            </w:pPr>
          </w:p>
        </w:tc>
        <w:tc>
          <w:tcPr>
            <w:tcW w:w="3133" w:type="dxa"/>
            <w:tcBorders>
              <w:top w:val="nil"/>
              <w:left w:val="nil"/>
              <w:bottom w:val="single" w:sz="4" w:space="0" w:color="auto"/>
              <w:right w:val="nil"/>
            </w:tcBorders>
            <w:shd w:val="clear" w:color="auto" w:fill="auto"/>
            <w:noWrap/>
            <w:vAlign w:val="bottom"/>
          </w:tcPr>
          <w:p w14:paraId="362AD0D4" w14:textId="1115E02F" w:rsidR="00982915" w:rsidRDefault="00982915">
            <w:pPr>
              <w:spacing w:after="0" w:line="0" w:lineRule="atLeast"/>
              <w:jc w:val="right"/>
              <w:rPr>
                <w:rFonts w:ascii="Arial" w:eastAsia="Times New Roman" w:hAnsi="Arial" w:cs="Arial"/>
                <w:color w:val="000000"/>
                <w:sz w:val="18"/>
                <w:szCs w:val="18"/>
                <w:lang w:eastAsia="zh-CN"/>
              </w:rPr>
            </w:pPr>
          </w:p>
        </w:tc>
      </w:tr>
    </w:tbl>
    <w:p w14:paraId="69A8DFE6" w14:textId="77777777" w:rsidR="00982915" w:rsidRDefault="00982915">
      <w:pPr>
        <w:rPr>
          <w:rFonts w:ascii="Arial" w:hAnsi="Arial" w:cs="Arial"/>
          <w:b/>
          <w:bCs/>
          <w:szCs w:val="22"/>
        </w:rPr>
      </w:pPr>
    </w:p>
    <w:p w14:paraId="0EA25885" w14:textId="77777777" w:rsidR="00982915" w:rsidRDefault="00EB6F73">
      <w:pPr>
        <w:rPr>
          <w:rFonts w:ascii="Arial" w:hAnsi="Arial" w:cs="Arial"/>
          <w:b/>
          <w:bCs/>
          <w:szCs w:val="22"/>
        </w:rPr>
      </w:pPr>
      <w:r>
        <w:rPr>
          <w:rFonts w:ascii="Arial" w:hAnsi="Arial" w:cs="Arial"/>
          <w:b/>
          <w:bCs/>
          <w:szCs w:val="22"/>
        </w:rPr>
        <w:br w:type="page"/>
      </w:r>
    </w:p>
    <w:p w14:paraId="052A9141" w14:textId="77777777" w:rsidR="00982915" w:rsidRDefault="00EB6F73">
      <w:pPr>
        <w:tabs>
          <w:tab w:val="left" w:pos="426"/>
        </w:tabs>
        <w:spacing w:after="0" w:line="360" w:lineRule="auto"/>
        <w:jc w:val="both"/>
        <w:rPr>
          <w:rFonts w:ascii="Arial" w:hAnsi="Arial" w:cs="Arial"/>
          <w:b/>
          <w:bCs/>
          <w:sz w:val="18"/>
          <w:szCs w:val="22"/>
        </w:rPr>
      </w:pPr>
      <w:r>
        <w:rPr>
          <w:rFonts w:ascii="Arial" w:hAnsi="Arial" w:cs="Arial"/>
          <w:b/>
          <w:bCs/>
          <w:sz w:val="18"/>
          <w:szCs w:val="22"/>
        </w:rPr>
        <w:lastRenderedPageBreak/>
        <w:t>(Nine Months Ended September 30, 2015)</w:t>
      </w:r>
    </w:p>
    <w:tbl>
      <w:tblPr>
        <w:tblW w:w="10499" w:type="dxa"/>
        <w:tblInd w:w="93" w:type="dxa"/>
        <w:tblLayout w:type="fixed"/>
        <w:tblLook w:val="04A0" w:firstRow="1" w:lastRow="0" w:firstColumn="1" w:lastColumn="0" w:noHBand="0" w:noVBand="1"/>
      </w:tblPr>
      <w:tblGrid>
        <w:gridCol w:w="236"/>
        <w:gridCol w:w="66"/>
        <w:gridCol w:w="4391"/>
        <w:gridCol w:w="2977"/>
        <w:gridCol w:w="2829"/>
      </w:tblGrid>
      <w:tr w:rsidR="00982915" w14:paraId="2F3CA284" w14:textId="77777777">
        <w:trPr>
          <w:trHeight w:val="311"/>
        </w:trPr>
        <w:tc>
          <w:tcPr>
            <w:tcW w:w="4693" w:type="dxa"/>
            <w:gridSpan w:val="3"/>
            <w:tcBorders>
              <w:top w:val="nil"/>
              <w:left w:val="nil"/>
              <w:bottom w:val="single" w:sz="12" w:space="0" w:color="auto"/>
              <w:right w:val="nil"/>
            </w:tcBorders>
            <w:shd w:val="clear" w:color="auto" w:fill="auto"/>
            <w:noWrap/>
            <w:vAlign w:val="bottom"/>
          </w:tcPr>
          <w:p w14:paraId="4D132129" w14:textId="77777777" w:rsidR="00982915" w:rsidRDefault="00982915">
            <w:pPr>
              <w:spacing w:after="0" w:line="240" w:lineRule="auto"/>
              <w:rPr>
                <w:rFonts w:ascii="Arial" w:eastAsia="Times New Roman" w:hAnsi="Arial" w:cs="Arial"/>
                <w:color w:val="000000"/>
                <w:sz w:val="18"/>
                <w:szCs w:val="18"/>
                <w:lang w:eastAsia="zh-CN"/>
              </w:rPr>
            </w:pPr>
          </w:p>
        </w:tc>
        <w:tc>
          <w:tcPr>
            <w:tcW w:w="2977" w:type="dxa"/>
            <w:tcBorders>
              <w:top w:val="nil"/>
              <w:left w:val="nil"/>
              <w:bottom w:val="single" w:sz="12" w:space="0" w:color="auto"/>
              <w:right w:val="nil"/>
            </w:tcBorders>
            <w:shd w:val="clear" w:color="auto" w:fill="auto"/>
            <w:noWrap/>
            <w:vAlign w:val="bottom"/>
            <w:hideMark/>
          </w:tcPr>
          <w:p w14:paraId="71EC04B9" w14:textId="77777777" w:rsidR="00982915" w:rsidRDefault="00EB6F73">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829" w:type="dxa"/>
            <w:tcBorders>
              <w:top w:val="nil"/>
              <w:left w:val="nil"/>
              <w:bottom w:val="single" w:sz="12" w:space="0" w:color="auto"/>
              <w:right w:val="nil"/>
            </w:tcBorders>
            <w:shd w:val="clear" w:color="auto" w:fill="auto"/>
            <w:noWrap/>
            <w:vAlign w:val="bottom"/>
            <w:hideMark/>
          </w:tcPr>
          <w:p w14:paraId="067E1D74" w14:textId="77777777" w:rsidR="00982915" w:rsidRDefault="00EB6F73">
            <w:pPr>
              <w:spacing w:after="0" w:line="240" w:lineRule="auto"/>
              <w:jc w:val="right"/>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(Millions of yen)</w:t>
            </w:r>
          </w:p>
        </w:tc>
      </w:tr>
      <w:tr w:rsidR="00982915" w14:paraId="097C0ECE" w14:textId="77777777">
        <w:trPr>
          <w:trHeight w:val="205"/>
        </w:trPr>
        <w:tc>
          <w:tcPr>
            <w:tcW w:w="236" w:type="dxa"/>
            <w:tcBorders>
              <w:top w:val="single" w:sz="12" w:space="0" w:color="auto"/>
              <w:left w:val="nil"/>
              <w:bottom w:val="nil"/>
              <w:right w:val="nil"/>
            </w:tcBorders>
            <w:shd w:val="clear" w:color="auto" w:fill="auto"/>
            <w:noWrap/>
            <w:vAlign w:val="bottom"/>
            <w:hideMark/>
          </w:tcPr>
          <w:p w14:paraId="44335E58" w14:textId="77777777" w:rsidR="00982915" w:rsidRDefault="00982915">
            <w:pPr>
              <w:spacing w:after="0" w:line="240" w:lineRule="auto"/>
              <w:rPr>
                <w:rFonts w:ascii="Arial" w:eastAsia="Times New Roman" w:hAnsi="Arial" w:cs="Arial"/>
                <w:color w:val="000000"/>
                <w:sz w:val="18"/>
                <w:szCs w:val="18"/>
                <w:lang w:eastAsia="zh-CN"/>
              </w:rPr>
            </w:pPr>
          </w:p>
        </w:tc>
        <w:tc>
          <w:tcPr>
            <w:tcW w:w="4457" w:type="dxa"/>
            <w:gridSpan w:val="2"/>
            <w:tcBorders>
              <w:top w:val="single" w:sz="12" w:space="0" w:color="auto"/>
              <w:left w:val="nil"/>
              <w:bottom w:val="nil"/>
              <w:right w:val="nil"/>
            </w:tcBorders>
            <w:shd w:val="clear" w:color="auto" w:fill="auto"/>
            <w:noWrap/>
            <w:vAlign w:val="bottom"/>
            <w:hideMark/>
          </w:tcPr>
          <w:p w14:paraId="01B73F3F" w14:textId="77777777" w:rsidR="00982915" w:rsidRDefault="00982915">
            <w:pPr>
              <w:spacing w:line="240" w:lineRule="auto"/>
              <w:rPr>
                <w:rFonts w:ascii="Arial" w:eastAsia="Times New Roman" w:hAnsi="Arial" w:cs="Arial"/>
                <w:color w:val="000000"/>
                <w:sz w:val="18"/>
                <w:szCs w:val="18"/>
                <w:lang w:eastAsia="zh-CN"/>
              </w:rPr>
            </w:pPr>
          </w:p>
        </w:tc>
        <w:tc>
          <w:tcPr>
            <w:tcW w:w="2977" w:type="dxa"/>
            <w:vMerge w:val="restart"/>
            <w:tcBorders>
              <w:top w:val="single" w:sz="12" w:space="0" w:color="auto"/>
              <w:left w:val="nil"/>
              <w:right w:val="nil"/>
            </w:tcBorders>
            <w:shd w:val="clear" w:color="auto" w:fill="auto"/>
            <w:noWrap/>
            <w:vAlign w:val="center"/>
            <w:hideMark/>
          </w:tcPr>
          <w:p w14:paraId="6E020F3A" w14:textId="77777777" w:rsidR="00982915" w:rsidRDefault="00EB6F73">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3Q FY2014</w:t>
            </w:r>
          </w:p>
          <w:p w14:paraId="600F1EE1" w14:textId="77777777" w:rsidR="00982915" w:rsidRDefault="00EB6F73">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(Jan. 1, 2014 -</w:t>
            </w:r>
            <w:r>
              <w:rPr>
                <w:rFonts w:ascii="Arial" w:hAnsi="Arial" w:cs="Arial" w:hint="eastAsia"/>
                <w:color w:val="000000"/>
                <w:sz w:val="18"/>
                <w:szCs w:val="18"/>
              </w:rPr>
              <w:t xml:space="preserve"> </w:t>
            </w:r>
            <w:r>
              <w:rPr>
                <w:rFonts w:ascii="Arial" w:eastAsia="Times New Roman" w:hAnsi="Arial" w:cs="Arial"/>
                <w:color w:val="000000"/>
                <w:sz w:val="18"/>
                <w:szCs w:val="18"/>
                <w:lang w:eastAsia="zh-CN"/>
              </w:rPr>
              <w:t>Sept. 30, 2014)</w:t>
            </w:r>
          </w:p>
        </w:tc>
        <w:tc>
          <w:tcPr>
            <w:tcW w:w="2829" w:type="dxa"/>
            <w:vMerge w:val="restart"/>
            <w:tcBorders>
              <w:top w:val="single" w:sz="12" w:space="0" w:color="auto"/>
              <w:left w:val="nil"/>
              <w:right w:val="nil"/>
            </w:tcBorders>
            <w:shd w:val="clear" w:color="auto" w:fill="auto"/>
            <w:noWrap/>
            <w:vAlign w:val="center"/>
            <w:hideMark/>
          </w:tcPr>
          <w:p w14:paraId="3F20836B" w14:textId="77777777" w:rsidR="00982915" w:rsidRDefault="00EB6F73">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3Q FY2015</w:t>
            </w:r>
          </w:p>
          <w:p w14:paraId="5D5E6601" w14:textId="77777777" w:rsidR="00982915" w:rsidRDefault="00EB6F73">
            <w:pPr>
              <w:spacing w:after="0" w:line="240" w:lineRule="auto"/>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(Jan 1, 2015 -</w:t>
            </w:r>
            <w:r>
              <w:rPr>
                <w:rFonts w:ascii="Arial" w:hAnsi="Arial" w:cs="Arial" w:hint="eastAsia"/>
                <w:color w:val="000000"/>
                <w:sz w:val="18"/>
                <w:szCs w:val="18"/>
              </w:rPr>
              <w:t xml:space="preserve"> </w:t>
            </w:r>
            <w:r>
              <w:rPr>
                <w:rFonts w:ascii="Arial" w:eastAsia="Times New Roman" w:hAnsi="Arial" w:cs="Arial"/>
                <w:color w:val="000000"/>
                <w:sz w:val="18"/>
                <w:szCs w:val="18"/>
                <w:lang w:eastAsia="zh-CN"/>
              </w:rPr>
              <w:t>Sept. 30, 2015)</w:t>
            </w:r>
          </w:p>
        </w:tc>
      </w:tr>
      <w:tr w:rsidR="00982915" w14:paraId="4C76AC28" w14:textId="77777777">
        <w:trPr>
          <w:trHeight w:val="80"/>
        </w:trPr>
        <w:tc>
          <w:tcPr>
            <w:tcW w:w="4693" w:type="dxa"/>
            <w:gridSpan w:val="3"/>
            <w:tcBorders>
              <w:top w:val="nil"/>
              <w:left w:val="nil"/>
              <w:bottom w:val="single" w:sz="4" w:space="0" w:color="auto"/>
              <w:right w:val="nil"/>
            </w:tcBorders>
            <w:shd w:val="clear" w:color="auto" w:fill="auto"/>
            <w:noWrap/>
            <w:vAlign w:val="bottom"/>
            <w:hideMark/>
          </w:tcPr>
          <w:p w14:paraId="7750B186"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p w14:paraId="6DB766D3"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977" w:type="dxa"/>
            <w:vMerge/>
            <w:tcBorders>
              <w:left w:val="nil"/>
              <w:bottom w:val="single" w:sz="4" w:space="0" w:color="auto"/>
              <w:right w:val="nil"/>
            </w:tcBorders>
            <w:shd w:val="clear" w:color="auto" w:fill="auto"/>
            <w:noWrap/>
            <w:vAlign w:val="center"/>
            <w:hideMark/>
          </w:tcPr>
          <w:p w14:paraId="2FF0A450" w14:textId="77777777"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vMerge/>
            <w:tcBorders>
              <w:left w:val="nil"/>
              <w:bottom w:val="single" w:sz="4" w:space="0" w:color="auto"/>
              <w:right w:val="nil"/>
            </w:tcBorders>
            <w:shd w:val="clear" w:color="auto" w:fill="auto"/>
            <w:noWrap/>
            <w:vAlign w:val="center"/>
            <w:hideMark/>
          </w:tcPr>
          <w:p w14:paraId="3DDC6E0D" w14:textId="77777777"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31BB4AAC" w14:textId="77777777" w:rsidTr="000741BD">
        <w:trPr>
          <w:trHeight w:val="264"/>
        </w:trPr>
        <w:tc>
          <w:tcPr>
            <w:tcW w:w="4693" w:type="dxa"/>
            <w:gridSpan w:val="3"/>
            <w:tcBorders>
              <w:top w:val="nil"/>
              <w:left w:val="nil"/>
              <w:bottom w:val="nil"/>
              <w:right w:val="nil"/>
            </w:tcBorders>
            <w:shd w:val="clear" w:color="000000" w:fill="CCFFFF"/>
            <w:noWrap/>
            <w:vAlign w:val="center"/>
            <w:hideMark/>
          </w:tcPr>
          <w:p w14:paraId="7FB766A6"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Income (loss) before minority interests</w:t>
            </w:r>
          </w:p>
        </w:tc>
        <w:tc>
          <w:tcPr>
            <w:tcW w:w="2977" w:type="dxa"/>
            <w:tcBorders>
              <w:top w:val="nil"/>
              <w:left w:val="nil"/>
              <w:bottom w:val="nil"/>
              <w:right w:val="nil"/>
            </w:tcBorders>
            <w:shd w:val="clear" w:color="000000" w:fill="CCFFFF"/>
            <w:noWrap/>
            <w:vAlign w:val="center"/>
          </w:tcPr>
          <w:p w14:paraId="39E9F2A1" w14:textId="0EFD273D"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000000" w:fill="CCFFFF"/>
            <w:noWrap/>
            <w:vAlign w:val="center"/>
          </w:tcPr>
          <w:p w14:paraId="5F0DDBEF" w14:textId="0FFD99AC"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6940C13F" w14:textId="77777777" w:rsidTr="000741BD">
        <w:trPr>
          <w:trHeight w:val="264"/>
        </w:trPr>
        <w:tc>
          <w:tcPr>
            <w:tcW w:w="4693" w:type="dxa"/>
            <w:gridSpan w:val="3"/>
            <w:tcBorders>
              <w:top w:val="nil"/>
              <w:left w:val="nil"/>
              <w:bottom w:val="nil"/>
              <w:right w:val="nil"/>
            </w:tcBorders>
            <w:shd w:val="clear" w:color="auto" w:fill="auto"/>
            <w:noWrap/>
            <w:vAlign w:val="center"/>
            <w:hideMark/>
          </w:tcPr>
          <w:p w14:paraId="792C8312"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Other comprehensive income</w:t>
            </w:r>
          </w:p>
        </w:tc>
        <w:tc>
          <w:tcPr>
            <w:tcW w:w="2977" w:type="dxa"/>
            <w:tcBorders>
              <w:top w:val="nil"/>
              <w:left w:val="nil"/>
              <w:bottom w:val="nil"/>
              <w:right w:val="nil"/>
            </w:tcBorders>
            <w:shd w:val="clear" w:color="auto" w:fill="auto"/>
            <w:noWrap/>
            <w:vAlign w:val="center"/>
          </w:tcPr>
          <w:p w14:paraId="3BAD3A88" w14:textId="77777777"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auto" w:fill="auto"/>
            <w:noWrap/>
            <w:vAlign w:val="center"/>
          </w:tcPr>
          <w:p w14:paraId="7FAB49F2" w14:textId="77777777"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6A493F1E" w14:textId="77777777" w:rsidTr="000741BD">
        <w:trPr>
          <w:trHeight w:val="264"/>
        </w:trPr>
        <w:tc>
          <w:tcPr>
            <w:tcW w:w="302" w:type="dxa"/>
            <w:gridSpan w:val="2"/>
            <w:tcBorders>
              <w:top w:val="nil"/>
              <w:left w:val="nil"/>
              <w:bottom w:val="nil"/>
              <w:right w:val="nil"/>
            </w:tcBorders>
            <w:shd w:val="clear" w:color="000000" w:fill="CCFFFF"/>
            <w:noWrap/>
            <w:vAlign w:val="center"/>
            <w:hideMark/>
          </w:tcPr>
          <w:p w14:paraId="7442834C"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91" w:type="dxa"/>
            <w:tcBorders>
              <w:top w:val="nil"/>
              <w:left w:val="nil"/>
              <w:bottom w:val="nil"/>
              <w:right w:val="nil"/>
            </w:tcBorders>
            <w:shd w:val="clear" w:color="000000" w:fill="CCFFFF"/>
            <w:noWrap/>
            <w:vAlign w:val="center"/>
            <w:hideMark/>
          </w:tcPr>
          <w:p w14:paraId="36B3ECA7"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Valuation difference on available-for-sale securities</w:t>
            </w:r>
          </w:p>
        </w:tc>
        <w:tc>
          <w:tcPr>
            <w:tcW w:w="2977" w:type="dxa"/>
            <w:tcBorders>
              <w:top w:val="nil"/>
              <w:left w:val="nil"/>
              <w:bottom w:val="nil"/>
              <w:right w:val="nil"/>
            </w:tcBorders>
            <w:shd w:val="clear" w:color="000000" w:fill="CCFFFF"/>
            <w:noWrap/>
            <w:vAlign w:val="center"/>
          </w:tcPr>
          <w:p w14:paraId="2F8A87D4" w14:textId="7738EE98"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000000" w:fill="CCFFFF"/>
            <w:noWrap/>
            <w:vAlign w:val="center"/>
          </w:tcPr>
          <w:p w14:paraId="70899C97" w14:textId="20D71B24"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33558AD0" w14:textId="77777777" w:rsidTr="000741BD">
        <w:trPr>
          <w:trHeight w:val="264"/>
        </w:trPr>
        <w:tc>
          <w:tcPr>
            <w:tcW w:w="302" w:type="dxa"/>
            <w:gridSpan w:val="2"/>
            <w:tcBorders>
              <w:top w:val="nil"/>
              <w:left w:val="nil"/>
              <w:bottom w:val="nil"/>
              <w:right w:val="nil"/>
            </w:tcBorders>
            <w:shd w:val="clear" w:color="auto" w:fill="auto"/>
            <w:noWrap/>
            <w:vAlign w:val="center"/>
            <w:hideMark/>
          </w:tcPr>
          <w:p w14:paraId="17076241" w14:textId="77777777" w:rsidR="00982915" w:rsidRDefault="00982915">
            <w:pPr>
              <w:spacing w:after="0" w:line="240" w:lineRule="auto"/>
              <w:rPr>
                <w:rFonts w:ascii="Arial" w:eastAsia="Times New Roman" w:hAnsi="Arial" w:cs="Arial"/>
                <w:color w:val="000000"/>
                <w:sz w:val="18"/>
                <w:szCs w:val="18"/>
                <w:lang w:eastAsia="zh-CN"/>
              </w:rPr>
            </w:pPr>
          </w:p>
        </w:tc>
        <w:tc>
          <w:tcPr>
            <w:tcW w:w="4391" w:type="dxa"/>
            <w:tcBorders>
              <w:top w:val="nil"/>
              <w:left w:val="nil"/>
              <w:bottom w:val="nil"/>
              <w:right w:val="nil"/>
            </w:tcBorders>
            <w:shd w:val="clear" w:color="auto" w:fill="auto"/>
            <w:noWrap/>
            <w:vAlign w:val="center"/>
            <w:hideMark/>
          </w:tcPr>
          <w:p w14:paraId="115110DD"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Deferred gains or losses on hedges</w:t>
            </w:r>
          </w:p>
        </w:tc>
        <w:tc>
          <w:tcPr>
            <w:tcW w:w="2977" w:type="dxa"/>
            <w:tcBorders>
              <w:top w:val="nil"/>
              <w:left w:val="nil"/>
              <w:bottom w:val="nil"/>
              <w:right w:val="nil"/>
            </w:tcBorders>
            <w:shd w:val="clear" w:color="auto" w:fill="auto"/>
            <w:noWrap/>
            <w:vAlign w:val="center"/>
          </w:tcPr>
          <w:p w14:paraId="6E009911" w14:textId="7B431316"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auto" w:fill="auto"/>
            <w:noWrap/>
            <w:vAlign w:val="center"/>
          </w:tcPr>
          <w:p w14:paraId="27FD1684" w14:textId="5E26381A"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2A6413E6" w14:textId="77777777" w:rsidTr="000741BD">
        <w:trPr>
          <w:trHeight w:val="264"/>
        </w:trPr>
        <w:tc>
          <w:tcPr>
            <w:tcW w:w="302" w:type="dxa"/>
            <w:gridSpan w:val="2"/>
            <w:tcBorders>
              <w:top w:val="nil"/>
              <w:left w:val="nil"/>
              <w:bottom w:val="nil"/>
              <w:right w:val="nil"/>
            </w:tcBorders>
            <w:shd w:val="clear" w:color="000000" w:fill="CCFFFF"/>
            <w:noWrap/>
            <w:vAlign w:val="center"/>
            <w:hideMark/>
          </w:tcPr>
          <w:p w14:paraId="73BB24A0"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91" w:type="dxa"/>
            <w:tcBorders>
              <w:top w:val="nil"/>
              <w:left w:val="nil"/>
              <w:bottom w:val="nil"/>
              <w:right w:val="nil"/>
            </w:tcBorders>
            <w:shd w:val="clear" w:color="000000" w:fill="CCFFFF"/>
            <w:noWrap/>
            <w:vAlign w:val="center"/>
            <w:hideMark/>
          </w:tcPr>
          <w:p w14:paraId="6D7910DF"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Foreign currency translation adjustment</w:t>
            </w:r>
          </w:p>
        </w:tc>
        <w:tc>
          <w:tcPr>
            <w:tcW w:w="2977" w:type="dxa"/>
            <w:tcBorders>
              <w:top w:val="nil"/>
              <w:left w:val="nil"/>
              <w:bottom w:val="nil"/>
              <w:right w:val="nil"/>
            </w:tcBorders>
            <w:shd w:val="clear" w:color="000000" w:fill="CCFFFF"/>
            <w:noWrap/>
            <w:vAlign w:val="center"/>
          </w:tcPr>
          <w:p w14:paraId="588939DD" w14:textId="52C29076"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000000" w:fill="CCFFFF"/>
            <w:noWrap/>
            <w:vAlign w:val="center"/>
          </w:tcPr>
          <w:p w14:paraId="237DC10F" w14:textId="5740246F"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14F29976" w14:textId="77777777" w:rsidTr="000741BD">
        <w:trPr>
          <w:trHeight w:val="264"/>
        </w:trPr>
        <w:tc>
          <w:tcPr>
            <w:tcW w:w="302" w:type="dxa"/>
            <w:gridSpan w:val="2"/>
            <w:tcBorders>
              <w:top w:val="nil"/>
              <w:left w:val="nil"/>
              <w:bottom w:val="nil"/>
              <w:right w:val="nil"/>
            </w:tcBorders>
            <w:shd w:val="clear" w:color="auto" w:fill="auto"/>
            <w:noWrap/>
            <w:vAlign w:val="center"/>
            <w:hideMark/>
          </w:tcPr>
          <w:p w14:paraId="5C5C21EA" w14:textId="77777777" w:rsidR="00982915" w:rsidRDefault="00982915">
            <w:pPr>
              <w:spacing w:after="0" w:line="240" w:lineRule="auto"/>
              <w:rPr>
                <w:rFonts w:ascii="Arial" w:eastAsia="Times New Roman" w:hAnsi="Arial" w:cs="Arial"/>
                <w:color w:val="000000"/>
                <w:sz w:val="18"/>
                <w:szCs w:val="18"/>
                <w:lang w:eastAsia="zh-CN"/>
              </w:rPr>
            </w:pPr>
          </w:p>
        </w:tc>
        <w:tc>
          <w:tcPr>
            <w:tcW w:w="4391" w:type="dxa"/>
            <w:tcBorders>
              <w:top w:val="nil"/>
              <w:left w:val="nil"/>
              <w:bottom w:val="nil"/>
              <w:right w:val="nil"/>
            </w:tcBorders>
            <w:shd w:val="clear" w:color="auto" w:fill="auto"/>
            <w:noWrap/>
            <w:vAlign w:val="center"/>
            <w:hideMark/>
          </w:tcPr>
          <w:p w14:paraId="558DF329"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Re-measurements of defined benefit plans</w:t>
            </w:r>
          </w:p>
        </w:tc>
        <w:tc>
          <w:tcPr>
            <w:tcW w:w="2977" w:type="dxa"/>
            <w:tcBorders>
              <w:top w:val="nil"/>
              <w:left w:val="nil"/>
              <w:bottom w:val="nil"/>
              <w:right w:val="nil"/>
            </w:tcBorders>
            <w:shd w:val="clear" w:color="auto" w:fill="auto"/>
            <w:noWrap/>
            <w:vAlign w:val="center"/>
          </w:tcPr>
          <w:p w14:paraId="41B64DFA" w14:textId="0F76676B" w:rsidR="00982915" w:rsidRDefault="00982915">
            <w:pPr>
              <w:spacing w:after="0" w:line="240" w:lineRule="auto"/>
              <w:ind w:rightChars="273" w:right="601"/>
              <w:jc w:val="right"/>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auto" w:fill="auto"/>
            <w:noWrap/>
            <w:vAlign w:val="center"/>
          </w:tcPr>
          <w:p w14:paraId="09DA40BF" w14:textId="0D2CEC6A"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3825375F" w14:textId="77777777" w:rsidTr="000741BD">
        <w:trPr>
          <w:trHeight w:val="588"/>
        </w:trPr>
        <w:tc>
          <w:tcPr>
            <w:tcW w:w="302" w:type="dxa"/>
            <w:gridSpan w:val="2"/>
            <w:tcBorders>
              <w:top w:val="nil"/>
              <w:left w:val="nil"/>
              <w:bottom w:val="nil"/>
              <w:right w:val="nil"/>
            </w:tcBorders>
            <w:shd w:val="clear" w:color="000000" w:fill="CCFFFF"/>
            <w:noWrap/>
            <w:vAlign w:val="center"/>
            <w:hideMark/>
          </w:tcPr>
          <w:p w14:paraId="39F5EE94"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91" w:type="dxa"/>
            <w:tcBorders>
              <w:top w:val="nil"/>
              <w:left w:val="nil"/>
              <w:bottom w:val="nil"/>
              <w:right w:val="nil"/>
            </w:tcBorders>
            <w:shd w:val="clear" w:color="000000" w:fill="CCFFFF"/>
            <w:vAlign w:val="center"/>
            <w:hideMark/>
          </w:tcPr>
          <w:p w14:paraId="2ACE6BC6"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Share of other comprehensive income of associates accounted for using equity method</w:t>
            </w:r>
          </w:p>
        </w:tc>
        <w:tc>
          <w:tcPr>
            <w:tcW w:w="2977" w:type="dxa"/>
            <w:tcBorders>
              <w:top w:val="nil"/>
              <w:left w:val="nil"/>
              <w:bottom w:val="single" w:sz="4" w:space="0" w:color="auto"/>
              <w:right w:val="nil"/>
            </w:tcBorders>
            <w:shd w:val="clear" w:color="000000" w:fill="CCFFFF"/>
            <w:noWrap/>
            <w:vAlign w:val="center"/>
          </w:tcPr>
          <w:p w14:paraId="4C0953C2" w14:textId="1DF04477"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single" w:sz="4" w:space="0" w:color="auto"/>
              <w:right w:val="nil"/>
            </w:tcBorders>
            <w:shd w:val="clear" w:color="000000" w:fill="CCFFFF"/>
            <w:noWrap/>
            <w:vAlign w:val="center"/>
          </w:tcPr>
          <w:p w14:paraId="1CDF2899" w14:textId="4C6A1D3B"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5D67E72C" w14:textId="77777777" w:rsidTr="000741BD">
        <w:trPr>
          <w:trHeight w:val="323"/>
        </w:trPr>
        <w:tc>
          <w:tcPr>
            <w:tcW w:w="302" w:type="dxa"/>
            <w:gridSpan w:val="2"/>
            <w:tcBorders>
              <w:top w:val="nil"/>
              <w:left w:val="nil"/>
              <w:bottom w:val="nil"/>
              <w:right w:val="nil"/>
            </w:tcBorders>
            <w:shd w:val="clear" w:color="auto" w:fill="auto"/>
            <w:noWrap/>
            <w:vAlign w:val="center"/>
            <w:hideMark/>
          </w:tcPr>
          <w:p w14:paraId="06C9FD6C" w14:textId="77777777" w:rsidR="00982915" w:rsidRDefault="00982915">
            <w:pPr>
              <w:spacing w:after="0" w:line="240" w:lineRule="auto"/>
              <w:rPr>
                <w:rFonts w:ascii="Arial" w:eastAsia="Times New Roman" w:hAnsi="Arial" w:cs="Arial"/>
                <w:color w:val="000000"/>
                <w:sz w:val="18"/>
                <w:szCs w:val="18"/>
                <w:lang w:eastAsia="zh-CN"/>
              </w:rPr>
            </w:pPr>
          </w:p>
        </w:tc>
        <w:tc>
          <w:tcPr>
            <w:tcW w:w="4391" w:type="dxa"/>
            <w:tcBorders>
              <w:top w:val="nil"/>
              <w:left w:val="nil"/>
              <w:bottom w:val="nil"/>
              <w:right w:val="nil"/>
            </w:tcBorders>
            <w:shd w:val="clear" w:color="auto" w:fill="auto"/>
            <w:noWrap/>
            <w:vAlign w:val="center"/>
            <w:hideMark/>
          </w:tcPr>
          <w:p w14:paraId="0E0BDDC5"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Total other comprehensive income</w:t>
            </w:r>
          </w:p>
        </w:tc>
        <w:tc>
          <w:tcPr>
            <w:tcW w:w="2977" w:type="dxa"/>
            <w:tcBorders>
              <w:top w:val="nil"/>
              <w:left w:val="nil"/>
              <w:bottom w:val="single" w:sz="4" w:space="0" w:color="auto"/>
              <w:right w:val="nil"/>
            </w:tcBorders>
            <w:shd w:val="clear" w:color="auto" w:fill="auto"/>
            <w:noWrap/>
            <w:vAlign w:val="center"/>
          </w:tcPr>
          <w:p w14:paraId="7847979E" w14:textId="201A3CF8"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single" w:sz="4" w:space="0" w:color="auto"/>
              <w:right w:val="nil"/>
            </w:tcBorders>
            <w:shd w:val="clear" w:color="auto" w:fill="auto"/>
            <w:noWrap/>
            <w:vAlign w:val="center"/>
          </w:tcPr>
          <w:p w14:paraId="6D908C6B" w14:textId="257F4F84"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601A967C" w14:textId="77777777" w:rsidTr="000741BD">
        <w:trPr>
          <w:trHeight w:val="323"/>
        </w:trPr>
        <w:tc>
          <w:tcPr>
            <w:tcW w:w="4693" w:type="dxa"/>
            <w:gridSpan w:val="3"/>
            <w:tcBorders>
              <w:top w:val="nil"/>
              <w:left w:val="nil"/>
              <w:bottom w:val="nil"/>
              <w:right w:val="nil"/>
            </w:tcBorders>
            <w:shd w:val="clear" w:color="000000" w:fill="CCFFFF"/>
            <w:noWrap/>
            <w:vAlign w:val="center"/>
            <w:hideMark/>
          </w:tcPr>
          <w:p w14:paraId="761C5806"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Comprehensive income</w:t>
            </w:r>
          </w:p>
        </w:tc>
        <w:tc>
          <w:tcPr>
            <w:tcW w:w="2977" w:type="dxa"/>
            <w:tcBorders>
              <w:top w:val="nil"/>
              <w:left w:val="nil"/>
              <w:bottom w:val="single" w:sz="4" w:space="0" w:color="auto"/>
              <w:right w:val="nil"/>
            </w:tcBorders>
            <w:shd w:val="clear" w:color="000000" w:fill="CCFFFF"/>
            <w:noWrap/>
            <w:vAlign w:val="center"/>
          </w:tcPr>
          <w:p w14:paraId="3869E49A" w14:textId="3A187608"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single" w:sz="4" w:space="0" w:color="auto"/>
              <w:right w:val="nil"/>
            </w:tcBorders>
            <w:shd w:val="clear" w:color="000000" w:fill="CCFFFF"/>
            <w:noWrap/>
            <w:vAlign w:val="center"/>
          </w:tcPr>
          <w:p w14:paraId="5173BCB0" w14:textId="29A1AA8C"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557E3A5F" w14:textId="77777777" w:rsidTr="000741BD">
        <w:trPr>
          <w:trHeight w:val="323"/>
        </w:trPr>
        <w:tc>
          <w:tcPr>
            <w:tcW w:w="302" w:type="dxa"/>
            <w:gridSpan w:val="2"/>
            <w:tcBorders>
              <w:top w:val="nil"/>
              <w:left w:val="nil"/>
              <w:bottom w:val="nil"/>
              <w:right w:val="nil"/>
            </w:tcBorders>
            <w:shd w:val="clear" w:color="auto" w:fill="auto"/>
            <w:noWrap/>
            <w:vAlign w:val="center"/>
            <w:hideMark/>
          </w:tcPr>
          <w:p w14:paraId="770BF81F" w14:textId="77777777" w:rsidR="00982915" w:rsidRDefault="00982915">
            <w:pPr>
              <w:spacing w:after="0" w:line="240" w:lineRule="auto"/>
              <w:rPr>
                <w:rFonts w:ascii="Arial" w:eastAsia="Times New Roman" w:hAnsi="Arial" w:cs="Arial"/>
                <w:color w:val="000000"/>
                <w:sz w:val="18"/>
                <w:szCs w:val="18"/>
                <w:lang w:eastAsia="zh-CN"/>
              </w:rPr>
            </w:pPr>
          </w:p>
        </w:tc>
        <w:tc>
          <w:tcPr>
            <w:tcW w:w="4391" w:type="dxa"/>
            <w:tcBorders>
              <w:top w:val="nil"/>
              <w:left w:val="nil"/>
              <w:bottom w:val="nil"/>
              <w:right w:val="nil"/>
            </w:tcBorders>
            <w:shd w:val="clear" w:color="auto" w:fill="auto"/>
            <w:noWrap/>
            <w:vAlign w:val="center"/>
            <w:hideMark/>
          </w:tcPr>
          <w:p w14:paraId="213ABEBD"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(Breakdown)</w:t>
            </w:r>
          </w:p>
        </w:tc>
        <w:tc>
          <w:tcPr>
            <w:tcW w:w="2977" w:type="dxa"/>
            <w:tcBorders>
              <w:top w:val="nil"/>
              <w:left w:val="nil"/>
              <w:bottom w:val="nil"/>
              <w:right w:val="nil"/>
            </w:tcBorders>
            <w:shd w:val="clear" w:color="auto" w:fill="auto"/>
            <w:noWrap/>
            <w:vAlign w:val="center"/>
          </w:tcPr>
          <w:p w14:paraId="65B42DB4" w14:textId="77777777"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auto" w:fill="auto"/>
            <w:noWrap/>
            <w:vAlign w:val="center"/>
          </w:tcPr>
          <w:p w14:paraId="4C4A3273" w14:textId="77777777"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496296D4" w14:textId="77777777" w:rsidTr="000741BD">
        <w:trPr>
          <w:trHeight w:val="323"/>
        </w:trPr>
        <w:tc>
          <w:tcPr>
            <w:tcW w:w="302" w:type="dxa"/>
            <w:gridSpan w:val="2"/>
            <w:tcBorders>
              <w:top w:val="nil"/>
              <w:left w:val="nil"/>
              <w:bottom w:val="nil"/>
              <w:right w:val="nil"/>
            </w:tcBorders>
            <w:shd w:val="clear" w:color="000000" w:fill="CCFFFF"/>
            <w:noWrap/>
            <w:vAlign w:val="center"/>
            <w:hideMark/>
          </w:tcPr>
          <w:p w14:paraId="66922B1F"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91" w:type="dxa"/>
            <w:tcBorders>
              <w:top w:val="nil"/>
              <w:left w:val="nil"/>
              <w:bottom w:val="nil"/>
              <w:right w:val="nil"/>
            </w:tcBorders>
            <w:shd w:val="clear" w:color="000000" w:fill="CCFFFF"/>
            <w:noWrap/>
            <w:vAlign w:val="center"/>
            <w:hideMark/>
          </w:tcPr>
          <w:p w14:paraId="108D3196"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Comprehensive income attributable to owners of parent</w:t>
            </w:r>
          </w:p>
        </w:tc>
        <w:tc>
          <w:tcPr>
            <w:tcW w:w="2977" w:type="dxa"/>
            <w:tcBorders>
              <w:top w:val="nil"/>
              <w:left w:val="nil"/>
              <w:bottom w:val="nil"/>
              <w:right w:val="nil"/>
            </w:tcBorders>
            <w:shd w:val="clear" w:color="000000" w:fill="CCFFFF"/>
            <w:noWrap/>
            <w:vAlign w:val="center"/>
          </w:tcPr>
          <w:p w14:paraId="13B3FB7F" w14:textId="3905AE17"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000000" w:fill="CCFFFF"/>
            <w:noWrap/>
            <w:vAlign w:val="center"/>
          </w:tcPr>
          <w:p w14:paraId="7AC3ECDB" w14:textId="5774DB16" w:rsidR="00982915" w:rsidRDefault="00982915">
            <w:pPr>
              <w:spacing w:after="0" w:line="240" w:lineRule="auto"/>
              <w:jc w:val="center"/>
              <w:rPr>
                <w:rFonts w:ascii="Arial" w:eastAsia="Times New Roman" w:hAnsi="Arial" w:cs="Arial"/>
                <w:color w:val="000000"/>
                <w:sz w:val="18"/>
                <w:szCs w:val="18"/>
                <w:lang w:eastAsia="zh-CN"/>
              </w:rPr>
            </w:pPr>
          </w:p>
        </w:tc>
      </w:tr>
      <w:tr w:rsidR="00982915" w14:paraId="43940636" w14:textId="77777777" w:rsidTr="000741BD">
        <w:trPr>
          <w:trHeight w:val="323"/>
        </w:trPr>
        <w:tc>
          <w:tcPr>
            <w:tcW w:w="302" w:type="dxa"/>
            <w:gridSpan w:val="2"/>
            <w:tcBorders>
              <w:top w:val="nil"/>
              <w:left w:val="nil"/>
              <w:bottom w:val="nil"/>
              <w:right w:val="nil"/>
            </w:tcBorders>
            <w:shd w:val="clear" w:color="auto" w:fill="auto"/>
            <w:noWrap/>
            <w:vAlign w:val="center"/>
            <w:hideMark/>
          </w:tcPr>
          <w:p w14:paraId="664113DC" w14:textId="77777777" w:rsidR="00982915" w:rsidRDefault="00982915">
            <w:pPr>
              <w:spacing w:after="0" w:line="240" w:lineRule="auto"/>
              <w:rPr>
                <w:rFonts w:ascii="Arial" w:eastAsia="Times New Roman" w:hAnsi="Arial" w:cs="Arial"/>
                <w:color w:val="000000"/>
                <w:sz w:val="18"/>
                <w:szCs w:val="18"/>
                <w:lang w:eastAsia="zh-CN"/>
              </w:rPr>
            </w:pPr>
          </w:p>
        </w:tc>
        <w:tc>
          <w:tcPr>
            <w:tcW w:w="4391" w:type="dxa"/>
            <w:tcBorders>
              <w:top w:val="nil"/>
              <w:left w:val="nil"/>
              <w:bottom w:val="nil"/>
              <w:right w:val="nil"/>
            </w:tcBorders>
            <w:shd w:val="clear" w:color="auto" w:fill="auto"/>
            <w:noWrap/>
            <w:vAlign w:val="center"/>
            <w:hideMark/>
          </w:tcPr>
          <w:p w14:paraId="69A3DEBF" w14:textId="77777777" w:rsidR="00982915" w:rsidRDefault="00EB6F7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Comprehensive income attributable to minority interests</w:t>
            </w:r>
          </w:p>
        </w:tc>
        <w:tc>
          <w:tcPr>
            <w:tcW w:w="2977" w:type="dxa"/>
            <w:tcBorders>
              <w:top w:val="nil"/>
              <w:left w:val="nil"/>
              <w:bottom w:val="nil"/>
              <w:right w:val="nil"/>
            </w:tcBorders>
            <w:shd w:val="clear" w:color="auto" w:fill="auto"/>
            <w:noWrap/>
            <w:vAlign w:val="center"/>
          </w:tcPr>
          <w:p w14:paraId="4EA540F1" w14:textId="20FA8EF4" w:rsidR="00982915" w:rsidRDefault="00982915">
            <w:pPr>
              <w:spacing w:after="0" w:line="240" w:lineRule="auto"/>
              <w:jc w:val="center"/>
              <w:rPr>
                <w:rFonts w:ascii="Arial" w:eastAsia="Times New Roman" w:hAnsi="Arial" w:cs="Arial"/>
                <w:color w:val="000000"/>
                <w:sz w:val="18"/>
                <w:szCs w:val="18"/>
                <w:lang w:eastAsia="zh-CN"/>
              </w:rPr>
            </w:pPr>
          </w:p>
        </w:tc>
        <w:tc>
          <w:tcPr>
            <w:tcW w:w="2829" w:type="dxa"/>
            <w:tcBorders>
              <w:top w:val="nil"/>
              <w:left w:val="nil"/>
              <w:bottom w:val="nil"/>
              <w:right w:val="nil"/>
            </w:tcBorders>
            <w:shd w:val="clear" w:color="auto" w:fill="auto"/>
            <w:noWrap/>
            <w:vAlign w:val="center"/>
          </w:tcPr>
          <w:p w14:paraId="34B94B8C" w14:textId="29F46CB1" w:rsidR="00982915" w:rsidRDefault="00982915">
            <w:pPr>
              <w:spacing w:after="0" w:line="240" w:lineRule="auto"/>
              <w:jc w:val="center"/>
              <w:rPr>
                <w:rFonts w:ascii="Arial" w:eastAsia="Times New Roman" w:hAnsi="Arial" w:cs="Arial"/>
                <w:color w:val="000000"/>
                <w:sz w:val="18"/>
                <w:szCs w:val="18"/>
                <w:lang w:eastAsia="zh-CN"/>
              </w:rPr>
            </w:pPr>
          </w:p>
        </w:tc>
      </w:tr>
    </w:tbl>
    <w:p w14:paraId="20BF22FB" w14:textId="77777777" w:rsidR="00982915" w:rsidRDefault="00EB6F73">
      <w:pPr>
        <w:rPr>
          <w:rFonts w:ascii="Arial" w:hAnsi="Arial" w:cs="Arial"/>
          <w:b/>
          <w:bCs/>
          <w:szCs w:val="22"/>
        </w:rPr>
      </w:pPr>
      <w:r>
        <w:rPr>
          <w:rFonts w:ascii="Arial" w:hAnsi="Arial" w:cs="Arial"/>
          <w:b/>
          <w:bCs/>
          <w:szCs w:val="22"/>
        </w:rPr>
        <w:br w:type="page"/>
      </w:r>
    </w:p>
    <w:p w14:paraId="5FADB719" w14:textId="77777777" w:rsidR="00982915" w:rsidRDefault="00982915">
      <w:pPr>
        <w:rPr>
          <w:rFonts w:ascii="Arial" w:hAnsi="Arial" w:cs="Arial"/>
          <w:b/>
          <w:bCs/>
          <w:szCs w:val="22"/>
        </w:rPr>
      </w:pPr>
    </w:p>
    <w:p w14:paraId="2656119A" w14:textId="77777777" w:rsidR="00982915" w:rsidRDefault="00EB6F73">
      <w:pPr>
        <w:tabs>
          <w:tab w:val="left" w:pos="426"/>
        </w:tabs>
        <w:spacing w:after="0" w:line="240" w:lineRule="auto"/>
        <w:jc w:val="both"/>
        <w:rPr>
          <w:rFonts w:ascii="Arial" w:hAnsi="Arial" w:cs="Arial"/>
          <w:b/>
          <w:bCs/>
          <w:sz w:val="21"/>
          <w:szCs w:val="20"/>
        </w:rPr>
      </w:pPr>
      <w:r>
        <w:rPr>
          <w:rFonts w:ascii="Arial" w:hAnsi="Arial" w:cs="Arial"/>
          <w:b/>
          <w:bCs/>
          <w:sz w:val="21"/>
          <w:szCs w:val="20"/>
        </w:rPr>
        <w:t>3. Notes on the Quarterly Consolidated Financial Statements</w:t>
      </w:r>
    </w:p>
    <w:p w14:paraId="4EEDFA6A" w14:textId="77777777" w:rsidR="00982915" w:rsidRDefault="00EB6F73">
      <w:pPr>
        <w:tabs>
          <w:tab w:val="left" w:pos="426"/>
        </w:tabs>
        <w:spacing w:after="0" w:line="240" w:lineRule="auto"/>
        <w:jc w:val="both"/>
        <w:rPr>
          <w:rFonts w:ascii="Arial" w:hAnsi="Arial" w:cs="Arial"/>
          <w:sz w:val="20"/>
          <w:szCs w:val="20"/>
        </w:rPr>
      </w:pPr>
      <w:r>
        <w:rPr>
          <w:rFonts w:ascii="Arial" w:hAnsi="Arial" w:cs="Arial"/>
          <w:sz w:val="21"/>
          <w:szCs w:val="20"/>
        </w:rPr>
        <w:t>(Notes regarding Going Concern)</w:t>
      </w:r>
    </w:p>
    <w:p w14:paraId="1AAC9A90" w14:textId="77777777" w:rsidR="00982915" w:rsidRDefault="00EB6F73">
      <w:pPr>
        <w:tabs>
          <w:tab w:val="left" w:pos="426"/>
        </w:tabs>
        <w:spacing w:after="0" w:line="240" w:lineRule="auto"/>
        <w:jc w:val="both"/>
        <w:rPr>
          <w:rFonts w:ascii="Arial" w:hAnsi="Arial" w:cs="Arial"/>
          <w:sz w:val="20"/>
          <w:szCs w:val="20"/>
        </w:rPr>
      </w:pPr>
      <w:r>
        <w:rPr>
          <w:rFonts w:ascii="Arial" w:hAnsi="Arial" w:cs="Arial"/>
          <w:sz w:val="20"/>
          <w:szCs w:val="20"/>
        </w:rPr>
        <w:t>No applicable items.</w:t>
      </w:r>
    </w:p>
    <w:p w14:paraId="6AB248EC" w14:textId="77777777" w:rsidR="00982915" w:rsidRDefault="00982915">
      <w:pPr>
        <w:tabs>
          <w:tab w:val="left" w:pos="426"/>
        </w:tabs>
        <w:spacing w:after="0" w:line="240" w:lineRule="auto"/>
        <w:jc w:val="both"/>
        <w:rPr>
          <w:rFonts w:ascii="Arial" w:hAnsi="Arial" w:cs="Arial"/>
          <w:sz w:val="21"/>
          <w:szCs w:val="20"/>
        </w:rPr>
      </w:pPr>
    </w:p>
    <w:p w14:paraId="54A471EE" w14:textId="77777777" w:rsidR="00982915" w:rsidRDefault="00EB6F73">
      <w:pPr>
        <w:tabs>
          <w:tab w:val="left" w:pos="426"/>
        </w:tabs>
        <w:spacing w:after="0" w:line="240" w:lineRule="auto"/>
        <w:jc w:val="both"/>
        <w:rPr>
          <w:rFonts w:ascii="Arial" w:hAnsi="Arial" w:cs="Arial"/>
          <w:sz w:val="20"/>
          <w:szCs w:val="20"/>
        </w:rPr>
      </w:pPr>
      <w:r>
        <w:rPr>
          <w:rFonts w:ascii="Arial" w:hAnsi="Arial" w:cs="Arial"/>
          <w:sz w:val="21"/>
          <w:szCs w:val="20"/>
        </w:rPr>
        <w:t>(Notes regarding Remarkable Change of Shareholder's Equity)</w:t>
      </w:r>
    </w:p>
    <w:p w14:paraId="43B39C64" w14:textId="77777777" w:rsidR="00982915" w:rsidRDefault="00EB6F73">
      <w:pPr>
        <w:tabs>
          <w:tab w:val="left" w:pos="426"/>
        </w:tabs>
        <w:spacing w:after="0" w:line="240" w:lineRule="auto"/>
        <w:jc w:val="both"/>
        <w:rPr>
          <w:rFonts w:ascii="Arial" w:hAnsi="Arial" w:cs="Arial"/>
          <w:sz w:val="20"/>
          <w:szCs w:val="20"/>
        </w:rPr>
      </w:pPr>
      <w:r>
        <w:rPr>
          <w:rFonts w:ascii="Arial" w:hAnsi="Arial" w:cs="Arial"/>
          <w:sz w:val="20"/>
          <w:szCs w:val="20"/>
        </w:rPr>
        <w:t>No applicable items.</w:t>
      </w:r>
    </w:p>
    <w:p w14:paraId="5C837581" w14:textId="77777777" w:rsidR="00982915" w:rsidRDefault="00982915">
      <w:pPr>
        <w:tabs>
          <w:tab w:val="left" w:pos="426"/>
        </w:tabs>
        <w:spacing w:after="0" w:line="240" w:lineRule="auto"/>
        <w:jc w:val="both"/>
        <w:rPr>
          <w:rFonts w:ascii="Arial" w:hAnsi="Arial" w:cs="Arial"/>
          <w:sz w:val="20"/>
          <w:szCs w:val="20"/>
        </w:rPr>
      </w:pPr>
    </w:p>
    <w:p w14:paraId="3A3FB326" w14:textId="77777777" w:rsidR="00982915" w:rsidRDefault="00EB6F73">
      <w:pPr>
        <w:tabs>
          <w:tab w:val="left" w:pos="426"/>
        </w:tabs>
        <w:spacing w:after="0" w:line="240" w:lineRule="auto"/>
        <w:jc w:val="both"/>
        <w:rPr>
          <w:rFonts w:ascii="Arial" w:hAnsi="Arial" w:cs="Arial"/>
          <w:sz w:val="21"/>
          <w:szCs w:val="20"/>
        </w:rPr>
      </w:pPr>
      <w:r>
        <w:rPr>
          <w:rFonts w:ascii="Arial" w:hAnsi="Arial" w:cs="Arial"/>
          <w:sz w:val="21"/>
          <w:szCs w:val="20"/>
        </w:rPr>
        <w:t>(Segment Information)</w:t>
      </w:r>
    </w:p>
    <w:p w14:paraId="38C8981D" w14:textId="77777777" w:rsidR="00982915" w:rsidRDefault="00982915">
      <w:pPr>
        <w:tabs>
          <w:tab w:val="left" w:pos="426"/>
        </w:tabs>
        <w:spacing w:after="0" w:line="240" w:lineRule="auto"/>
        <w:jc w:val="both"/>
        <w:rPr>
          <w:rFonts w:ascii="Arial" w:hAnsi="Arial" w:cs="Arial"/>
          <w:sz w:val="20"/>
          <w:szCs w:val="20"/>
        </w:rPr>
      </w:pPr>
    </w:p>
    <w:p w14:paraId="02806C2D" w14:textId="77777777" w:rsidR="00982915" w:rsidRDefault="00EB6F73">
      <w:pPr>
        <w:tabs>
          <w:tab w:val="left" w:pos="426"/>
        </w:tabs>
        <w:spacing w:after="0" w:line="240" w:lineRule="auto"/>
        <w:jc w:val="both"/>
        <w:rPr>
          <w:rFonts w:ascii="Arial" w:hAnsi="Arial" w:cs="Arial"/>
          <w:bCs/>
          <w:sz w:val="21"/>
          <w:szCs w:val="20"/>
        </w:rPr>
      </w:pPr>
      <w:r>
        <w:rPr>
          <w:rFonts w:ascii="Arial" w:hAnsi="Arial" w:cs="Arial"/>
          <w:bCs/>
          <w:sz w:val="21"/>
          <w:szCs w:val="20"/>
        </w:rPr>
        <w:t>1. Information Concerning Net Sales and Profits and Losses for Reporting Segments</w:t>
      </w:r>
    </w:p>
    <w:p w14:paraId="13C2B372" w14:textId="77777777" w:rsidR="00982915" w:rsidRDefault="00EB6F73">
      <w:pPr>
        <w:tabs>
          <w:tab w:val="left" w:pos="426"/>
        </w:tabs>
        <w:spacing w:after="0" w:line="240" w:lineRule="auto"/>
        <w:jc w:val="both"/>
        <w:rPr>
          <w:rFonts w:ascii="Arial" w:hAnsi="Arial" w:cs="Arial"/>
          <w:sz w:val="21"/>
          <w:szCs w:val="20"/>
        </w:rPr>
      </w:pPr>
      <w:r>
        <w:rPr>
          <w:rFonts w:ascii="Arial" w:hAnsi="Arial" w:cs="Arial"/>
          <w:bCs/>
          <w:sz w:val="21"/>
          <w:szCs w:val="20"/>
        </w:rPr>
        <w:t>3Q FY2014 (January 1, 2014 – September 30, 2014)</w:t>
      </w:r>
    </w:p>
    <w:p w14:paraId="2F6ADFA1" w14:textId="77777777" w:rsidR="00982915" w:rsidRDefault="00EB6F73">
      <w:pPr>
        <w:tabs>
          <w:tab w:val="left" w:pos="426"/>
        </w:tabs>
        <w:spacing w:after="0" w:line="240" w:lineRule="auto"/>
        <w:jc w:val="right"/>
        <w:rPr>
          <w:rFonts w:ascii="Arial" w:hAnsi="Arial" w:cs="Arial"/>
          <w:sz w:val="18"/>
          <w:szCs w:val="18"/>
        </w:rPr>
      </w:pPr>
      <w:r>
        <w:rPr>
          <w:rFonts w:ascii="Arial" w:hAnsi="Arial" w:cs="Arial"/>
          <w:sz w:val="18"/>
          <w:szCs w:val="18"/>
        </w:rPr>
        <w:t>(Millions of yen)</w:t>
      </w:r>
    </w:p>
    <w:tbl>
      <w:tblPr>
        <w:tblStyle w:val="TableGrid"/>
        <w:tblW w:w="10333" w:type="dxa"/>
        <w:tblInd w:w="108" w:type="dxa"/>
        <w:tblLayout w:type="fixed"/>
        <w:tblLook w:val="04A0" w:firstRow="1" w:lastRow="0" w:firstColumn="1" w:lastColumn="0" w:noHBand="0" w:noVBand="1"/>
      </w:tblPr>
      <w:tblGrid>
        <w:gridCol w:w="260"/>
        <w:gridCol w:w="2511"/>
        <w:gridCol w:w="1004"/>
        <w:gridCol w:w="1291"/>
        <w:gridCol w:w="1139"/>
        <w:gridCol w:w="1148"/>
        <w:gridCol w:w="1192"/>
        <w:gridCol w:w="1788"/>
      </w:tblGrid>
      <w:tr w:rsidR="00982915" w14:paraId="3BA9E397" w14:textId="77777777">
        <w:trPr>
          <w:trHeight w:val="212"/>
        </w:trPr>
        <w:tc>
          <w:tcPr>
            <w:tcW w:w="2771" w:type="dxa"/>
            <w:gridSpan w:val="2"/>
          </w:tcPr>
          <w:p w14:paraId="3211EB58" w14:textId="77777777" w:rsidR="00982915" w:rsidRDefault="00982915">
            <w:pPr>
              <w:tabs>
                <w:tab w:val="left" w:pos="426"/>
              </w:tabs>
              <w:jc w:val="both"/>
              <w:rPr>
                <w:rFonts w:ascii="Arial" w:hAnsi="Arial" w:cs="Arial"/>
                <w:sz w:val="18"/>
                <w:szCs w:val="18"/>
              </w:rPr>
            </w:pPr>
          </w:p>
        </w:tc>
        <w:tc>
          <w:tcPr>
            <w:tcW w:w="4582" w:type="dxa"/>
            <w:gridSpan w:val="4"/>
            <w:vAlign w:val="center"/>
          </w:tcPr>
          <w:p w14:paraId="747E7039" w14:textId="77777777" w:rsidR="00982915" w:rsidRDefault="00EB6F73">
            <w:pPr>
              <w:tabs>
                <w:tab w:val="left" w:pos="426"/>
              </w:tabs>
              <w:jc w:val="center"/>
              <w:rPr>
                <w:rFonts w:ascii="Arial" w:hAnsi="Arial" w:cs="Arial"/>
                <w:sz w:val="18"/>
                <w:szCs w:val="18"/>
              </w:rPr>
            </w:pPr>
            <w:r>
              <w:rPr>
                <w:rFonts w:ascii="Arial" w:hAnsi="Arial" w:cs="Arial"/>
                <w:sz w:val="18"/>
                <w:szCs w:val="18"/>
              </w:rPr>
              <w:t>Reporting Segment</w:t>
            </w:r>
          </w:p>
        </w:tc>
        <w:tc>
          <w:tcPr>
            <w:tcW w:w="1192" w:type="dxa"/>
            <w:vMerge w:val="restart"/>
            <w:vAlign w:val="center"/>
          </w:tcPr>
          <w:p w14:paraId="31A43212" w14:textId="77777777" w:rsidR="00982915" w:rsidRDefault="00EB6F73">
            <w:pPr>
              <w:tabs>
                <w:tab w:val="left" w:pos="426"/>
              </w:tabs>
              <w:jc w:val="center"/>
              <w:rPr>
                <w:rFonts w:ascii="Arial" w:hAnsi="Arial" w:cs="Arial"/>
                <w:sz w:val="18"/>
                <w:szCs w:val="18"/>
              </w:rPr>
            </w:pPr>
            <w:r>
              <w:rPr>
                <w:rFonts w:ascii="Arial" w:hAnsi="Arial" w:cs="Arial"/>
                <w:sz w:val="18"/>
                <w:szCs w:val="18"/>
              </w:rPr>
              <w:t>Adjustment Amount *1</w:t>
            </w:r>
          </w:p>
        </w:tc>
        <w:tc>
          <w:tcPr>
            <w:tcW w:w="1788" w:type="dxa"/>
            <w:vMerge w:val="restart"/>
            <w:vAlign w:val="center"/>
          </w:tcPr>
          <w:p w14:paraId="03219DA8" w14:textId="77777777" w:rsidR="00982915" w:rsidRDefault="00EB6F73">
            <w:pPr>
              <w:tabs>
                <w:tab w:val="left" w:pos="426"/>
              </w:tabs>
              <w:jc w:val="center"/>
              <w:rPr>
                <w:rFonts w:ascii="Arial" w:hAnsi="Arial" w:cs="Arial"/>
                <w:sz w:val="18"/>
                <w:szCs w:val="18"/>
              </w:rPr>
            </w:pPr>
            <w:r>
              <w:rPr>
                <w:rFonts w:ascii="Arial" w:hAnsi="Arial" w:cs="Arial"/>
                <w:sz w:val="18"/>
                <w:szCs w:val="18"/>
              </w:rPr>
              <w:t>Consolidated Quarterly Income Statement Amount *2</w:t>
            </w:r>
          </w:p>
        </w:tc>
      </w:tr>
      <w:tr w:rsidR="00982915" w14:paraId="09128A4B" w14:textId="77777777">
        <w:trPr>
          <w:trHeight w:val="819"/>
        </w:trPr>
        <w:tc>
          <w:tcPr>
            <w:tcW w:w="2771" w:type="dxa"/>
            <w:gridSpan w:val="2"/>
          </w:tcPr>
          <w:p w14:paraId="7F8CDC1D" w14:textId="77777777" w:rsidR="00982915" w:rsidRDefault="00982915">
            <w:pPr>
              <w:tabs>
                <w:tab w:val="left" w:pos="426"/>
              </w:tabs>
              <w:jc w:val="both"/>
              <w:rPr>
                <w:rFonts w:ascii="Arial" w:hAnsi="Arial" w:cs="Arial"/>
                <w:sz w:val="18"/>
                <w:szCs w:val="18"/>
              </w:rPr>
            </w:pPr>
          </w:p>
        </w:tc>
        <w:tc>
          <w:tcPr>
            <w:tcW w:w="1004" w:type="dxa"/>
            <w:vAlign w:val="center"/>
          </w:tcPr>
          <w:p w14:paraId="59E54795" w14:textId="77777777" w:rsidR="00982915" w:rsidRDefault="00EB6F73">
            <w:pPr>
              <w:tabs>
                <w:tab w:val="left" w:pos="426"/>
              </w:tabs>
              <w:jc w:val="center"/>
              <w:rPr>
                <w:rFonts w:ascii="Arial" w:hAnsi="Arial" w:cs="Arial"/>
                <w:sz w:val="18"/>
                <w:szCs w:val="18"/>
              </w:rPr>
            </w:pPr>
            <w:r>
              <w:rPr>
                <w:rFonts w:ascii="Arial" w:hAnsi="Arial" w:cs="Arial"/>
                <w:sz w:val="18"/>
                <w:szCs w:val="18"/>
              </w:rPr>
              <w:t>Logistics</w:t>
            </w:r>
          </w:p>
        </w:tc>
        <w:tc>
          <w:tcPr>
            <w:tcW w:w="1291" w:type="dxa"/>
            <w:vAlign w:val="center"/>
          </w:tcPr>
          <w:p w14:paraId="4BF8137E" w14:textId="77777777" w:rsidR="00982915" w:rsidRDefault="00EB6F73">
            <w:pPr>
              <w:tabs>
                <w:tab w:val="left" w:pos="426"/>
              </w:tabs>
              <w:jc w:val="center"/>
              <w:rPr>
                <w:rFonts w:ascii="Arial" w:hAnsi="Arial" w:cs="Arial"/>
                <w:sz w:val="18"/>
                <w:szCs w:val="18"/>
              </w:rPr>
            </w:pPr>
            <w:r>
              <w:rPr>
                <w:rFonts w:ascii="Arial" w:hAnsi="Arial" w:cs="Arial"/>
                <w:sz w:val="18"/>
                <w:szCs w:val="18"/>
              </w:rPr>
              <w:t>Property</w:t>
            </w:r>
          </w:p>
          <w:p w14:paraId="0710A5FD" w14:textId="77777777" w:rsidR="00982915" w:rsidRDefault="00EB6F73">
            <w:pPr>
              <w:tabs>
                <w:tab w:val="left" w:pos="426"/>
              </w:tabs>
              <w:jc w:val="center"/>
              <w:rPr>
                <w:rFonts w:ascii="Arial" w:hAnsi="Arial" w:cs="Arial"/>
                <w:sz w:val="18"/>
                <w:szCs w:val="18"/>
              </w:rPr>
            </w:pPr>
            <w:r>
              <w:rPr>
                <w:rFonts w:ascii="Arial" w:hAnsi="Arial" w:cs="Arial"/>
                <w:sz w:val="18"/>
                <w:szCs w:val="18"/>
              </w:rPr>
              <w:t>Management</w:t>
            </w:r>
          </w:p>
          <w:p w14:paraId="24BC8CE4" w14:textId="77777777" w:rsidR="00982915" w:rsidRDefault="00EB6F73">
            <w:pPr>
              <w:tabs>
                <w:tab w:val="left" w:pos="426"/>
              </w:tabs>
              <w:jc w:val="center"/>
              <w:rPr>
                <w:rFonts w:ascii="Arial" w:hAnsi="Arial" w:cs="Arial"/>
                <w:sz w:val="18"/>
                <w:szCs w:val="18"/>
              </w:rPr>
            </w:pPr>
            <w:r>
              <w:rPr>
                <w:rFonts w:ascii="Arial" w:hAnsi="Arial" w:cs="Arial"/>
                <w:sz w:val="18"/>
                <w:szCs w:val="18"/>
              </w:rPr>
              <w:t>Business</w:t>
            </w:r>
          </w:p>
        </w:tc>
        <w:tc>
          <w:tcPr>
            <w:tcW w:w="1139" w:type="dxa"/>
            <w:vAlign w:val="center"/>
          </w:tcPr>
          <w:p w14:paraId="7075C038" w14:textId="77777777" w:rsidR="00982915" w:rsidRDefault="00EB6F73">
            <w:pPr>
              <w:tabs>
                <w:tab w:val="left" w:pos="426"/>
              </w:tabs>
              <w:jc w:val="center"/>
              <w:rPr>
                <w:rFonts w:ascii="Arial" w:hAnsi="Arial" w:cs="Arial"/>
                <w:sz w:val="18"/>
                <w:szCs w:val="18"/>
              </w:rPr>
            </w:pPr>
            <w:r>
              <w:rPr>
                <w:rFonts w:ascii="Arial" w:hAnsi="Arial" w:cs="Arial"/>
                <w:sz w:val="18"/>
                <w:szCs w:val="18"/>
              </w:rPr>
              <w:t>Other Business</w:t>
            </w:r>
          </w:p>
        </w:tc>
        <w:tc>
          <w:tcPr>
            <w:tcW w:w="1146" w:type="dxa"/>
            <w:vAlign w:val="center"/>
          </w:tcPr>
          <w:p w14:paraId="705C29CA" w14:textId="77777777" w:rsidR="00982915" w:rsidRDefault="00EB6F73">
            <w:pPr>
              <w:tabs>
                <w:tab w:val="left" w:pos="426"/>
              </w:tabs>
              <w:jc w:val="center"/>
              <w:rPr>
                <w:rFonts w:ascii="Arial" w:hAnsi="Arial" w:cs="Arial"/>
                <w:sz w:val="18"/>
                <w:szCs w:val="18"/>
              </w:rPr>
            </w:pPr>
            <w:r>
              <w:rPr>
                <w:rFonts w:ascii="Arial" w:hAnsi="Arial" w:cs="Arial"/>
                <w:sz w:val="18"/>
                <w:szCs w:val="18"/>
              </w:rPr>
              <w:t>Total</w:t>
            </w:r>
          </w:p>
        </w:tc>
        <w:tc>
          <w:tcPr>
            <w:tcW w:w="1192" w:type="dxa"/>
            <w:vMerge/>
            <w:vAlign w:val="center"/>
          </w:tcPr>
          <w:p w14:paraId="1ABC178E" w14:textId="77777777" w:rsidR="00982915" w:rsidRDefault="00982915">
            <w:pPr>
              <w:tabs>
                <w:tab w:val="left" w:pos="426"/>
              </w:tabs>
              <w:jc w:val="center"/>
              <w:rPr>
                <w:rFonts w:ascii="Arial" w:hAnsi="Arial" w:cs="Arial"/>
                <w:sz w:val="18"/>
                <w:szCs w:val="18"/>
              </w:rPr>
            </w:pPr>
          </w:p>
        </w:tc>
        <w:tc>
          <w:tcPr>
            <w:tcW w:w="1788" w:type="dxa"/>
            <w:vMerge/>
            <w:vAlign w:val="center"/>
          </w:tcPr>
          <w:p w14:paraId="3CE06F17" w14:textId="77777777" w:rsidR="00982915" w:rsidRDefault="00982915">
            <w:pPr>
              <w:tabs>
                <w:tab w:val="left" w:pos="426"/>
              </w:tabs>
              <w:jc w:val="center"/>
              <w:rPr>
                <w:rFonts w:ascii="Arial" w:hAnsi="Arial" w:cs="Arial"/>
                <w:sz w:val="18"/>
                <w:szCs w:val="18"/>
              </w:rPr>
            </w:pPr>
          </w:p>
        </w:tc>
      </w:tr>
      <w:tr w:rsidR="00982915" w14:paraId="207FEB0A" w14:textId="77777777">
        <w:trPr>
          <w:trHeight w:val="212"/>
        </w:trPr>
        <w:tc>
          <w:tcPr>
            <w:tcW w:w="2771" w:type="dxa"/>
            <w:gridSpan w:val="2"/>
            <w:tcBorders>
              <w:bottom w:val="nil"/>
            </w:tcBorders>
            <w:vAlign w:val="center"/>
          </w:tcPr>
          <w:p w14:paraId="275016EB" w14:textId="77777777" w:rsidR="00982915" w:rsidRDefault="00EB6F73">
            <w:pPr>
              <w:tabs>
                <w:tab w:val="left" w:pos="426"/>
              </w:tabs>
              <w:rPr>
                <w:rFonts w:ascii="Arial" w:hAnsi="Arial" w:cs="Arial"/>
                <w:sz w:val="18"/>
                <w:szCs w:val="18"/>
              </w:rPr>
            </w:pPr>
            <w:r>
              <w:rPr>
                <w:rFonts w:ascii="Arial" w:hAnsi="Arial" w:cs="Arial"/>
                <w:sz w:val="18"/>
                <w:szCs w:val="18"/>
              </w:rPr>
              <w:t>Net sales</w:t>
            </w:r>
          </w:p>
        </w:tc>
        <w:tc>
          <w:tcPr>
            <w:tcW w:w="1004" w:type="dxa"/>
            <w:tcBorders>
              <w:bottom w:val="nil"/>
            </w:tcBorders>
          </w:tcPr>
          <w:p w14:paraId="468C0DA3" w14:textId="77777777" w:rsidR="00982915" w:rsidRDefault="00982915">
            <w:pPr>
              <w:tabs>
                <w:tab w:val="left" w:pos="426"/>
              </w:tabs>
              <w:jc w:val="both"/>
              <w:rPr>
                <w:rFonts w:ascii="Arial" w:hAnsi="Arial" w:cs="Arial"/>
                <w:sz w:val="18"/>
                <w:szCs w:val="18"/>
              </w:rPr>
            </w:pPr>
          </w:p>
        </w:tc>
        <w:tc>
          <w:tcPr>
            <w:tcW w:w="1291" w:type="dxa"/>
            <w:tcBorders>
              <w:bottom w:val="nil"/>
            </w:tcBorders>
          </w:tcPr>
          <w:p w14:paraId="05F3FF02" w14:textId="77777777" w:rsidR="00982915" w:rsidRDefault="00982915">
            <w:pPr>
              <w:tabs>
                <w:tab w:val="left" w:pos="426"/>
              </w:tabs>
              <w:jc w:val="both"/>
              <w:rPr>
                <w:rFonts w:ascii="Arial" w:hAnsi="Arial" w:cs="Arial"/>
                <w:sz w:val="18"/>
                <w:szCs w:val="18"/>
              </w:rPr>
            </w:pPr>
          </w:p>
        </w:tc>
        <w:tc>
          <w:tcPr>
            <w:tcW w:w="1139" w:type="dxa"/>
            <w:tcBorders>
              <w:bottom w:val="nil"/>
            </w:tcBorders>
          </w:tcPr>
          <w:p w14:paraId="7C8AAC91" w14:textId="77777777" w:rsidR="00982915" w:rsidRDefault="00982915">
            <w:pPr>
              <w:tabs>
                <w:tab w:val="left" w:pos="426"/>
              </w:tabs>
              <w:jc w:val="both"/>
              <w:rPr>
                <w:rFonts w:ascii="Arial" w:hAnsi="Arial" w:cs="Arial"/>
                <w:sz w:val="18"/>
                <w:szCs w:val="18"/>
              </w:rPr>
            </w:pPr>
          </w:p>
        </w:tc>
        <w:tc>
          <w:tcPr>
            <w:tcW w:w="1146" w:type="dxa"/>
            <w:tcBorders>
              <w:bottom w:val="nil"/>
            </w:tcBorders>
          </w:tcPr>
          <w:p w14:paraId="6F0B2365" w14:textId="77777777" w:rsidR="00982915" w:rsidRDefault="00982915">
            <w:pPr>
              <w:tabs>
                <w:tab w:val="left" w:pos="426"/>
              </w:tabs>
              <w:jc w:val="both"/>
              <w:rPr>
                <w:rFonts w:ascii="Arial" w:hAnsi="Arial" w:cs="Arial"/>
                <w:sz w:val="18"/>
                <w:szCs w:val="18"/>
              </w:rPr>
            </w:pPr>
          </w:p>
        </w:tc>
        <w:tc>
          <w:tcPr>
            <w:tcW w:w="1192" w:type="dxa"/>
            <w:tcBorders>
              <w:bottom w:val="nil"/>
            </w:tcBorders>
          </w:tcPr>
          <w:p w14:paraId="1959C91D" w14:textId="77777777" w:rsidR="00982915" w:rsidRDefault="00982915">
            <w:pPr>
              <w:tabs>
                <w:tab w:val="left" w:pos="426"/>
              </w:tabs>
              <w:jc w:val="both"/>
              <w:rPr>
                <w:rFonts w:ascii="Arial" w:hAnsi="Arial" w:cs="Arial"/>
                <w:sz w:val="18"/>
                <w:szCs w:val="18"/>
              </w:rPr>
            </w:pPr>
          </w:p>
        </w:tc>
        <w:tc>
          <w:tcPr>
            <w:tcW w:w="1788" w:type="dxa"/>
            <w:tcBorders>
              <w:bottom w:val="nil"/>
            </w:tcBorders>
          </w:tcPr>
          <w:p w14:paraId="248514E9" w14:textId="77777777" w:rsidR="00982915" w:rsidRDefault="00982915">
            <w:pPr>
              <w:tabs>
                <w:tab w:val="left" w:pos="426"/>
              </w:tabs>
              <w:jc w:val="both"/>
              <w:rPr>
                <w:rFonts w:ascii="Arial" w:hAnsi="Arial" w:cs="Arial"/>
                <w:sz w:val="18"/>
                <w:szCs w:val="18"/>
              </w:rPr>
            </w:pPr>
          </w:p>
        </w:tc>
      </w:tr>
      <w:tr w:rsidR="00982915" w14:paraId="5EDF8296" w14:textId="77777777">
        <w:trPr>
          <w:trHeight w:val="154"/>
        </w:trPr>
        <w:tc>
          <w:tcPr>
            <w:tcW w:w="260" w:type="dxa"/>
            <w:tcBorders>
              <w:top w:val="nil"/>
              <w:bottom w:val="nil"/>
              <w:right w:val="nil"/>
            </w:tcBorders>
          </w:tcPr>
          <w:p w14:paraId="6668A18B" w14:textId="77777777" w:rsidR="00982915" w:rsidRDefault="00982915">
            <w:pPr>
              <w:tabs>
                <w:tab w:val="left" w:pos="426"/>
              </w:tabs>
              <w:rPr>
                <w:rFonts w:ascii="Arial" w:hAnsi="Arial" w:cs="Arial"/>
                <w:sz w:val="18"/>
                <w:szCs w:val="18"/>
              </w:rPr>
            </w:pPr>
          </w:p>
        </w:tc>
        <w:tc>
          <w:tcPr>
            <w:tcW w:w="2510" w:type="dxa"/>
            <w:tcBorders>
              <w:top w:val="nil"/>
              <w:left w:val="nil"/>
              <w:bottom w:val="nil"/>
            </w:tcBorders>
            <w:vAlign w:val="center"/>
          </w:tcPr>
          <w:p w14:paraId="570A3334" w14:textId="77777777" w:rsidR="00982915" w:rsidRDefault="00EB6F73">
            <w:pPr>
              <w:tabs>
                <w:tab w:val="left" w:pos="426"/>
              </w:tabs>
              <w:rPr>
                <w:rFonts w:ascii="Arial" w:hAnsi="Arial" w:cs="Arial"/>
                <w:sz w:val="18"/>
                <w:szCs w:val="18"/>
              </w:rPr>
            </w:pPr>
            <w:r>
              <w:rPr>
                <w:rFonts w:ascii="Arial" w:hAnsi="Arial" w:cs="Arial"/>
                <w:sz w:val="18"/>
                <w:szCs w:val="18"/>
              </w:rPr>
              <w:t xml:space="preserve">Sales to external customers </w:t>
            </w:r>
          </w:p>
        </w:tc>
        <w:tc>
          <w:tcPr>
            <w:tcW w:w="1004" w:type="dxa"/>
            <w:tcBorders>
              <w:top w:val="nil"/>
              <w:bottom w:val="nil"/>
            </w:tcBorders>
            <w:vAlign w:val="center"/>
          </w:tcPr>
          <w:p w14:paraId="3D5B2656" w14:textId="33996C94" w:rsidR="00982915" w:rsidRDefault="00982915">
            <w:pPr>
              <w:tabs>
                <w:tab w:val="left" w:pos="426"/>
              </w:tabs>
              <w:jc w:val="right"/>
              <w:rPr>
                <w:rFonts w:ascii="Arial" w:hAnsi="Arial" w:cs="Arial"/>
                <w:sz w:val="18"/>
                <w:szCs w:val="18"/>
              </w:rPr>
            </w:pPr>
          </w:p>
        </w:tc>
        <w:tc>
          <w:tcPr>
            <w:tcW w:w="1291" w:type="dxa"/>
            <w:tcBorders>
              <w:top w:val="nil"/>
              <w:bottom w:val="nil"/>
            </w:tcBorders>
            <w:vAlign w:val="center"/>
          </w:tcPr>
          <w:p w14:paraId="6CDA7FEA" w14:textId="6E32F2CC" w:rsidR="00982915" w:rsidRDefault="00982915">
            <w:pPr>
              <w:tabs>
                <w:tab w:val="left" w:pos="426"/>
              </w:tabs>
              <w:jc w:val="right"/>
              <w:rPr>
                <w:rFonts w:ascii="Arial" w:hAnsi="Arial" w:cs="Arial"/>
                <w:sz w:val="18"/>
                <w:szCs w:val="18"/>
              </w:rPr>
            </w:pPr>
          </w:p>
        </w:tc>
        <w:tc>
          <w:tcPr>
            <w:tcW w:w="1139" w:type="dxa"/>
            <w:tcBorders>
              <w:top w:val="nil"/>
              <w:bottom w:val="nil"/>
            </w:tcBorders>
            <w:vAlign w:val="center"/>
          </w:tcPr>
          <w:p w14:paraId="156A2993" w14:textId="49AC3325" w:rsidR="00982915" w:rsidRDefault="00982915">
            <w:pPr>
              <w:tabs>
                <w:tab w:val="left" w:pos="426"/>
              </w:tabs>
              <w:jc w:val="right"/>
              <w:rPr>
                <w:rFonts w:ascii="Arial" w:hAnsi="Arial" w:cs="Arial"/>
                <w:sz w:val="18"/>
                <w:szCs w:val="18"/>
              </w:rPr>
            </w:pPr>
          </w:p>
        </w:tc>
        <w:tc>
          <w:tcPr>
            <w:tcW w:w="1146" w:type="dxa"/>
            <w:tcBorders>
              <w:top w:val="nil"/>
              <w:bottom w:val="nil"/>
            </w:tcBorders>
            <w:vAlign w:val="center"/>
          </w:tcPr>
          <w:p w14:paraId="24C99FBB" w14:textId="6243449D" w:rsidR="00982915" w:rsidRDefault="00982915">
            <w:pPr>
              <w:tabs>
                <w:tab w:val="left" w:pos="426"/>
              </w:tabs>
              <w:jc w:val="right"/>
              <w:rPr>
                <w:rFonts w:ascii="Arial" w:hAnsi="Arial" w:cs="Arial"/>
                <w:sz w:val="18"/>
                <w:szCs w:val="18"/>
              </w:rPr>
            </w:pPr>
          </w:p>
        </w:tc>
        <w:tc>
          <w:tcPr>
            <w:tcW w:w="1192" w:type="dxa"/>
            <w:tcBorders>
              <w:top w:val="nil"/>
              <w:bottom w:val="nil"/>
            </w:tcBorders>
            <w:vAlign w:val="center"/>
          </w:tcPr>
          <w:p w14:paraId="66018CAB" w14:textId="2252EC63" w:rsidR="00982915" w:rsidRDefault="00982915">
            <w:pPr>
              <w:tabs>
                <w:tab w:val="left" w:pos="426"/>
              </w:tabs>
              <w:jc w:val="right"/>
              <w:rPr>
                <w:rFonts w:ascii="Arial" w:hAnsi="Arial" w:cs="Arial"/>
                <w:sz w:val="18"/>
                <w:szCs w:val="18"/>
              </w:rPr>
            </w:pPr>
          </w:p>
        </w:tc>
        <w:tc>
          <w:tcPr>
            <w:tcW w:w="1788" w:type="dxa"/>
            <w:tcBorders>
              <w:top w:val="nil"/>
              <w:bottom w:val="nil"/>
            </w:tcBorders>
            <w:vAlign w:val="center"/>
          </w:tcPr>
          <w:p w14:paraId="647E5DC0" w14:textId="474AF983" w:rsidR="00982915" w:rsidRDefault="00982915">
            <w:pPr>
              <w:tabs>
                <w:tab w:val="left" w:pos="426"/>
              </w:tabs>
              <w:jc w:val="right"/>
              <w:rPr>
                <w:rFonts w:ascii="Arial" w:hAnsi="Arial" w:cs="Arial"/>
                <w:sz w:val="18"/>
                <w:szCs w:val="18"/>
              </w:rPr>
            </w:pPr>
          </w:p>
        </w:tc>
      </w:tr>
      <w:tr w:rsidR="00982915" w14:paraId="618CF60E" w14:textId="77777777">
        <w:trPr>
          <w:trHeight w:val="418"/>
        </w:trPr>
        <w:tc>
          <w:tcPr>
            <w:tcW w:w="260" w:type="dxa"/>
            <w:tcBorders>
              <w:top w:val="nil"/>
              <w:right w:val="nil"/>
            </w:tcBorders>
          </w:tcPr>
          <w:p w14:paraId="3FA1ADA7" w14:textId="77777777" w:rsidR="00982915" w:rsidRDefault="00982915">
            <w:pPr>
              <w:tabs>
                <w:tab w:val="left" w:pos="426"/>
              </w:tabs>
              <w:rPr>
                <w:rFonts w:ascii="Arial" w:hAnsi="Arial" w:cs="Arial"/>
                <w:sz w:val="18"/>
                <w:szCs w:val="18"/>
              </w:rPr>
            </w:pPr>
          </w:p>
        </w:tc>
        <w:tc>
          <w:tcPr>
            <w:tcW w:w="2510" w:type="dxa"/>
            <w:tcBorders>
              <w:top w:val="nil"/>
              <w:left w:val="nil"/>
            </w:tcBorders>
            <w:vAlign w:val="center"/>
          </w:tcPr>
          <w:p w14:paraId="388FAE7E" w14:textId="77777777" w:rsidR="00982915" w:rsidRDefault="00EB6F73">
            <w:pPr>
              <w:tabs>
                <w:tab w:val="left" w:pos="426"/>
              </w:tabs>
              <w:rPr>
                <w:rFonts w:ascii="Arial" w:hAnsi="Arial" w:cs="Arial"/>
                <w:sz w:val="18"/>
                <w:szCs w:val="18"/>
              </w:rPr>
            </w:pPr>
            <w:r>
              <w:rPr>
                <w:rFonts w:ascii="Arial" w:hAnsi="Arial" w:cs="Arial"/>
                <w:sz w:val="18"/>
                <w:szCs w:val="18"/>
              </w:rPr>
              <w:t>Inter-segment sales or transfers</w:t>
            </w:r>
          </w:p>
        </w:tc>
        <w:tc>
          <w:tcPr>
            <w:tcW w:w="1004" w:type="dxa"/>
            <w:tcBorders>
              <w:top w:val="nil"/>
            </w:tcBorders>
            <w:vAlign w:val="center"/>
          </w:tcPr>
          <w:p w14:paraId="7B25F4E8" w14:textId="11C1CE88" w:rsidR="00982915" w:rsidRDefault="00982915">
            <w:pPr>
              <w:tabs>
                <w:tab w:val="left" w:pos="426"/>
              </w:tabs>
              <w:jc w:val="right"/>
              <w:rPr>
                <w:rFonts w:ascii="Arial" w:hAnsi="Arial" w:cs="Arial"/>
                <w:sz w:val="18"/>
                <w:szCs w:val="18"/>
              </w:rPr>
            </w:pPr>
          </w:p>
        </w:tc>
        <w:tc>
          <w:tcPr>
            <w:tcW w:w="1291" w:type="dxa"/>
            <w:tcBorders>
              <w:top w:val="nil"/>
            </w:tcBorders>
            <w:vAlign w:val="center"/>
          </w:tcPr>
          <w:p w14:paraId="7A316003" w14:textId="4ADCC015" w:rsidR="00982915" w:rsidRDefault="00982915">
            <w:pPr>
              <w:tabs>
                <w:tab w:val="left" w:pos="426"/>
              </w:tabs>
              <w:jc w:val="right"/>
              <w:rPr>
                <w:rFonts w:ascii="Arial" w:hAnsi="Arial" w:cs="Arial"/>
                <w:sz w:val="18"/>
                <w:szCs w:val="18"/>
              </w:rPr>
            </w:pPr>
          </w:p>
        </w:tc>
        <w:tc>
          <w:tcPr>
            <w:tcW w:w="1139" w:type="dxa"/>
            <w:tcBorders>
              <w:top w:val="nil"/>
            </w:tcBorders>
            <w:vAlign w:val="center"/>
          </w:tcPr>
          <w:p w14:paraId="533D5D7B" w14:textId="4702A0B9" w:rsidR="00982915" w:rsidRDefault="00982915">
            <w:pPr>
              <w:tabs>
                <w:tab w:val="left" w:pos="426"/>
              </w:tabs>
              <w:jc w:val="right"/>
              <w:rPr>
                <w:rFonts w:ascii="Arial" w:hAnsi="Arial" w:cs="Arial"/>
                <w:sz w:val="18"/>
                <w:szCs w:val="18"/>
              </w:rPr>
            </w:pPr>
          </w:p>
        </w:tc>
        <w:tc>
          <w:tcPr>
            <w:tcW w:w="1146" w:type="dxa"/>
            <w:tcBorders>
              <w:top w:val="nil"/>
            </w:tcBorders>
            <w:vAlign w:val="center"/>
          </w:tcPr>
          <w:p w14:paraId="74382467" w14:textId="30E7C879" w:rsidR="00982915" w:rsidRDefault="00982915">
            <w:pPr>
              <w:tabs>
                <w:tab w:val="left" w:pos="426"/>
              </w:tabs>
              <w:jc w:val="right"/>
              <w:rPr>
                <w:rFonts w:ascii="Arial" w:hAnsi="Arial" w:cs="Arial"/>
                <w:sz w:val="18"/>
                <w:szCs w:val="18"/>
              </w:rPr>
            </w:pPr>
          </w:p>
        </w:tc>
        <w:tc>
          <w:tcPr>
            <w:tcW w:w="1192" w:type="dxa"/>
            <w:tcBorders>
              <w:top w:val="nil"/>
            </w:tcBorders>
            <w:vAlign w:val="center"/>
          </w:tcPr>
          <w:p w14:paraId="28D972C3" w14:textId="040E3A86" w:rsidR="00982915" w:rsidRDefault="00982915">
            <w:pPr>
              <w:tabs>
                <w:tab w:val="left" w:pos="426"/>
              </w:tabs>
              <w:jc w:val="right"/>
              <w:rPr>
                <w:rFonts w:ascii="Arial" w:hAnsi="Arial" w:cs="Arial"/>
                <w:sz w:val="18"/>
                <w:szCs w:val="18"/>
              </w:rPr>
            </w:pPr>
          </w:p>
        </w:tc>
        <w:tc>
          <w:tcPr>
            <w:tcW w:w="1788" w:type="dxa"/>
            <w:tcBorders>
              <w:top w:val="nil"/>
            </w:tcBorders>
            <w:vAlign w:val="center"/>
          </w:tcPr>
          <w:p w14:paraId="391479AF" w14:textId="1FE735F8" w:rsidR="00982915" w:rsidRDefault="00982915">
            <w:pPr>
              <w:tabs>
                <w:tab w:val="left" w:pos="426"/>
              </w:tabs>
              <w:jc w:val="right"/>
              <w:rPr>
                <w:rFonts w:ascii="Arial" w:hAnsi="Arial" w:cs="Arial"/>
                <w:sz w:val="18"/>
                <w:szCs w:val="18"/>
              </w:rPr>
            </w:pPr>
          </w:p>
        </w:tc>
      </w:tr>
      <w:tr w:rsidR="00982915" w14:paraId="38C8929F" w14:textId="77777777">
        <w:trPr>
          <w:trHeight w:val="212"/>
        </w:trPr>
        <w:tc>
          <w:tcPr>
            <w:tcW w:w="2771" w:type="dxa"/>
            <w:gridSpan w:val="2"/>
            <w:vAlign w:val="center"/>
          </w:tcPr>
          <w:p w14:paraId="77C85BDD" w14:textId="77777777" w:rsidR="00982915" w:rsidRDefault="00EB6F73">
            <w:pPr>
              <w:tabs>
                <w:tab w:val="left" w:pos="426"/>
              </w:tabs>
              <w:rPr>
                <w:rFonts w:ascii="Arial" w:hAnsi="Arial" w:cs="Arial"/>
                <w:sz w:val="18"/>
                <w:szCs w:val="18"/>
              </w:rPr>
            </w:pPr>
            <w:r>
              <w:rPr>
                <w:rFonts w:ascii="Arial" w:hAnsi="Arial" w:cs="Arial"/>
                <w:sz w:val="18"/>
                <w:szCs w:val="18"/>
              </w:rPr>
              <w:t>Total</w:t>
            </w:r>
          </w:p>
        </w:tc>
        <w:tc>
          <w:tcPr>
            <w:tcW w:w="1004" w:type="dxa"/>
            <w:vAlign w:val="center"/>
          </w:tcPr>
          <w:p w14:paraId="5C7912E3" w14:textId="0FF31A03" w:rsidR="00982915" w:rsidRDefault="00982915">
            <w:pPr>
              <w:tabs>
                <w:tab w:val="left" w:pos="426"/>
              </w:tabs>
              <w:jc w:val="right"/>
              <w:rPr>
                <w:rFonts w:ascii="Arial" w:hAnsi="Arial" w:cs="Arial"/>
                <w:sz w:val="18"/>
                <w:szCs w:val="18"/>
              </w:rPr>
            </w:pPr>
          </w:p>
        </w:tc>
        <w:tc>
          <w:tcPr>
            <w:tcW w:w="1291" w:type="dxa"/>
            <w:vAlign w:val="center"/>
          </w:tcPr>
          <w:p w14:paraId="2BD673FF" w14:textId="0A30DF4C" w:rsidR="00982915" w:rsidRDefault="00982915">
            <w:pPr>
              <w:tabs>
                <w:tab w:val="left" w:pos="426"/>
              </w:tabs>
              <w:jc w:val="right"/>
              <w:rPr>
                <w:rFonts w:ascii="Arial" w:hAnsi="Arial" w:cs="Arial"/>
                <w:sz w:val="18"/>
                <w:szCs w:val="18"/>
              </w:rPr>
            </w:pPr>
          </w:p>
        </w:tc>
        <w:tc>
          <w:tcPr>
            <w:tcW w:w="1139" w:type="dxa"/>
            <w:vAlign w:val="center"/>
          </w:tcPr>
          <w:p w14:paraId="5D2CB5D5" w14:textId="32D400D6" w:rsidR="00982915" w:rsidRDefault="00982915">
            <w:pPr>
              <w:tabs>
                <w:tab w:val="left" w:pos="426"/>
              </w:tabs>
              <w:jc w:val="right"/>
              <w:rPr>
                <w:rFonts w:ascii="Arial" w:hAnsi="Arial" w:cs="Arial"/>
                <w:sz w:val="18"/>
                <w:szCs w:val="18"/>
              </w:rPr>
            </w:pPr>
          </w:p>
        </w:tc>
        <w:tc>
          <w:tcPr>
            <w:tcW w:w="1146" w:type="dxa"/>
            <w:vAlign w:val="center"/>
          </w:tcPr>
          <w:p w14:paraId="17488F10" w14:textId="135EB1B4" w:rsidR="00982915" w:rsidRDefault="00982915">
            <w:pPr>
              <w:tabs>
                <w:tab w:val="left" w:pos="426"/>
              </w:tabs>
              <w:jc w:val="right"/>
              <w:rPr>
                <w:rFonts w:ascii="Arial" w:hAnsi="Arial" w:cs="Arial"/>
                <w:sz w:val="18"/>
                <w:szCs w:val="18"/>
              </w:rPr>
            </w:pPr>
          </w:p>
        </w:tc>
        <w:tc>
          <w:tcPr>
            <w:tcW w:w="1192" w:type="dxa"/>
            <w:vAlign w:val="center"/>
          </w:tcPr>
          <w:p w14:paraId="55A514C1" w14:textId="19209E1E" w:rsidR="00982915" w:rsidRDefault="00982915">
            <w:pPr>
              <w:tabs>
                <w:tab w:val="left" w:pos="426"/>
              </w:tabs>
              <w:jc w:val="right"/>
              <w:rPr>
                <w:rFonts w:ascii="Arial" w:hAnsi="Arial" w:cs="Arial"/>
                <w:sz w:val="18"/>
                <w:szCs w:val="18"/>
              </w:rPr>
            </w:pPr>
          </w:p>
        </w:tc>
        <w:tc>
          <w:tcPr>
            <w:tcW w:w="1788" w:type="dxa"/>
            <w:vAlign w:val="center"/>
          </w:tcPr>
          <w:p w14:paraId="391A15F1" w14:textId="531CF645" w:rsidR="00982915" w:rsidRDefault="00982915">
            <w:pPr>
              <w:tabs>
                <w:tab w:val="left" w:pos="426"/>
              </w:tabs>
              <w:jc w:val="right"/>
              <w:rPr>
                <w:rFonts w:ascii="Arial" w:hAnsi="Arial" w:cs="Arial"/>
                <w:sz w:val="18"/>
                <w:szCs w:val="18"/>
              </w:rPr>
            </w:pPr>
          </w:p>
        </w:tc>
      </w:tr>
      <w:tr w:rsidR="00982915" w14:paraId="1DC8735E" w14:textId="77777777">
        <w:trPr>
          <w:trHeight w:val="226"/>
        </w:trPr>
        <w:tc>
          <w:tcPr>
            <w:tcW w:w="2771" w:type="dxa"/>
            <w:gridSpan w:val="2"/>
            <w:tcBorders>
              <w:bottom w:val="single" w:sz="4" w:space="0" w:color="auto"/>
            </w:tcBorders>
            <w:vAlign w:val="center"/>
          </w:tcPr>
          <w:p w14:paraId="01ADAFF6" w14:textId="77777777" w:rsidR="00982915" w:rsidRDefault="00EB6F73">
            <w:pPr>
              <w:tabs>
                <w:tab w:val="left" w:pos="426"/>
              </w:tabs>
              <w:rPr>
                <w:rFonts w:ascii="Arial" w:hAnsi="Arial" w:cs="Arial"/>
                <w:sz w:val="18"/>
                <w:szCs w:val="18"/>
              </w:rPr>
            </w:pPr>
            <w:r>
              <w:rPr>
                <w:rFonts w:ascii="Arial" w:hAnsi="Arial" w:cs="Arial"/>
                <w:sz w:val="18"/>
                <w:szCs w:val="18"/>
              </w:rPr>
              <w:t xml:space="preserve">Segment income (loss) </w:t>
            </w:r>
          </w:p>
        </w:tc>
        <w:tc>
          <w:tcPr>
            <w:tcW w:w="1004" w:type="dxa"/>
            <w:tcBorders>
              <w:bottom w:val="single" w:sz="4" w:space="0" w:color="auto"/>
            </w:tcBorders>
            <w:vAlign w:val="center"/>
          </w:tcPr>
          <w:p w14:paraId="7F442DCE" w14:textId="5A1BB43D" w:rsidR="00982915" w:rsidRDefault="00982915">
            <w:pPr>
              <w:tabs>
                <w:tab w:val="left" w:pos="426"/>
              </w:tabs>
              <w:jc w:val="right"/>
              <w:rPr>
                <w:rFonts w:ascii="Arial" w:hAnsi="Arial" w:cs="Arial"/>
                <w:sz w:val="18"/>
                <w:szCs w:val="18"/>
              </w:rPr>
            </w:pPr>
          </w:p>
        </w:tc>
        <w:tc>
          <w:tcPr>
            <w:tcW w:w="1291" w:type="dxa"/>
            <w:tcBorders>
              <w:bottom w:val="single" w:sz="4" w:space="0" w:color="auto"/>
            </w:tcBorders>
            <w:vAlign w:val="center"/>
          </w:tcPr>
          <w:p w14:paraId="759E35F1" w14:textId="31210077" w:rsidR="00982915" w:rsidRDefault="00982915">
            <w:pPr>
              <w:tabs>
                <w:tab w:val="left" w:pos="426"/>
              </w:tabs>
              <w:jc w:val="right"/>
              <w:rPr>
                <w:rFonts w:ascii="Arial" w:hAnsi="Arial" w:cs="Arial"/>
                <w:sz w:val="18"/>
                <w:szCs w:val="18"/>
              </w:rPr>
            </w:pPr>
          </w:p>
        </w:tc>
        <w:tc>
          <w:tcPr>
            <w:tcW w:w="1139" w:type="dxa"/>
            <w:tcBorders>
              <w:bottom w:val="single" w:sz="4" w:space="0" w:color="auto"/>
            </w:tcBorders>
            <w:vAlign w:val="center"/>
          </w:tcPr>
          <w:p w14:paraId="518843EE" w14:textId="4C6A9D4A" w:rsidR="00982915" w:rsidRDefault="00982915">
            <w:pPr>
              <w:tabs>
                <w:tab w:val="left" w:pos="426"/>
              </w:tabs>
              <w:jc w:val="right"/>
              <w:rPr>
                <w:rFonts w:ascii="Arial" w:hAnsi="Arial" w:cs="Arial"/>
                <w:sz w:val="18"/>
                <w:szCs w:val="18"/>
              </w:rPr>
            </w:pPr>
          </w:p>
        </w:tc>
        <w:tc>
          <w:tcPr>
            <w:tcW w:w="1146" w:type="dxa"/>
            <w:tcBorders>
              <w:bottom w:val="single" w:sz="4" w:space="0" w:color="auto"/>
            </w:tcBorders>
            <w:vAlign w:val="center"/>
          </w:tcPr>
          <w:p w14:paraId="73A2D228" w14:textId="17239DD4" w:rsidR="00982915" w:rsidRDefault="00982915">
            <w:pPr>
              <w:tabs>
                <w:tab w:val="left" w:pos="426"/>
              </w:tabs>
              <w:jc w:val="right"/>
              <w:rPr>
                <w:rFonts w:ascii="Arial" w:hAnsi="Arial" w:cs="Arial"/>
                <w:sz w:val="18"/>
                <w:szCs w:val="18"/>
              </w:rPr>
            </w:pPr>
          </w:p>
        </w:tc>
        <w:tc>
          <w:tcPr>
            <w:tcW w:w="1192" w:type="dxa"/>
            <w:tcBorders>
              <w:bottom w:val="single" w:sz="4" w:space="0" w:color="auto"/>
            </w:tcBorders>
            <w:vAlign w:val="center"/>
          </w:tcPr>
          <w:p w14:paraId="48653A6C" w14:textId="4C19DC42" w:rsidR="00982915" w:rsidRDefault="00982915">
            <w:pPr>
              <w:tabs>
                <w:tab w:val="left" w:pos="426"/>
              </w:tabs>
              <w:jc w:val="right"/>
              <w:rPr>
                <w:rFonts w:ascii="Arial" w:hAnsi="Arial" w:cs="Arial"/>
                <w:sz w:val="18"/>
                <w:szCs w:val="18"/>
              </w:rPr>
            </w:pPr>
          </w:p>
        </w:tc>
        <w:tc>
          <w:tcPr>
            <w:tcW w:w="1788" w:type="dxa"/>
            <w:tcBorders>
              <w:bottom w:val="single" w:sz="4" w:space="0" w:color="auto"/>
            </w:tcBorders>
            <w:vAlign w:val="center"/>
          </w:tcPr>
          <w:p w14:paraId="6E7F1EAB" w14:textId="7C39AFCA" w:rsidR="00982915" w:rsidRDefault="00982915">
            <w:pPr>
              <w:tabs>
                <w:tab w:val="left" w:pos="426"/>
              </w:tabs>
              <w:jc w:val="right"/>
              <w:rPr>
                <w:rFonts w:ascii="Arial" w:hAnsi="Arial" w:cs="Arial"/>
                <w:sz w:val="18"/>
                <w:szCs w:val="18"/>
              </w:rPr>
            </w:pPr>
          </w:p>
        </w:tc>
      </w:tr>
    </w:tbl>
    <w:p w14:paraId="2DFEB0B2" w14:textId="77777777" w:rsidR="00982915" w:rsidRDefault="00EB6F73">
      <w:pPr>
        <w:tabs>
          <w:tab w:val="left" w:pos="426"/>
        </w:tabs>
        <w:spacing w:after="0" w:line="240" w:lineRule="auto"/>
        <w:jc w:val="both"/>
        <w:rPr>
          <w:rFonts w:ascii="Arial" w:hAnsi="Arial" w:cs="Arial"/>
          <w:sz w:val="18"/>
          <w:szCs w:val="20"/>
        </w:rPr>
      </w:pPr>
      <w:r>
        <w:rPr>
          <w:rFonts w:ascii="Arial" w:hAnsi="Arial" w:cs="Arial"/>
          <w:sz w:val="18"/>
          <w:szCs w:val="20"/>
        </w:rPr>
        <w:t xml:space="preserve"> (Notes)</w:t>
      </w:r>
    </w:p>
    <w:p w14:paraId="1ECD6473" w14:textId="76502C10" w:rsidR="00982915" w:rsidRDefault="00EB6F73">
      <w:pPr>
        <w:pStyle w:val="ListParagraph"/>
        <w:numPr>
          <w:ilvl w:val="0"/>
          <w:numId w:val="9"/>
        </w:numPr>
        <w:tabs>
          <w:tab w:val="left" w:pos="450"/>
        </w:tabs>
        <w:spacing w:after="0" w:line="240" w:lineRule="auto"/>
        <w:ind w:left="450"/>
        <w:jc w:val="both"/>
        <w:rPr>
          <w:rFonts w:ascii="Arial" w:hAnsi="Arial" w:cs="Arial"/>
          <w:sz w:val="18"/>
          <w:szCs w:val="20"/>
        </w:rPr>
      </w:pPr>
      <w:r>
        <w:rPr>
          <w:rFonts w:ascii="Arial" w:hAnsi="Arial" w:cs="Arial"/>
          <w:sz w:val="18"/>
          <w:szCs w:val="20"/>
        </w:rPr>
        <w:t>The adjustment amount for segment income (loss) is -¥</w:t>
      </w:r>
      <w:r w:rsidR="000741BD">
        <w:rPr>
          <w:rFonts w:ascii="Arial" w:hAnsi="Arial" w:cs="Arial"/>
          <w:sz w:val="18"/>
          <w:szCs w:val="20"/>
        </w:rPr>
        <w:t>12</w:t>
      </w:r>
      <w:r>
        <w:rPr>
          <w:rFonts w:ascii="Arial" w:hAnsi="Arial" w:cs="Arial"/>
          <w:sz w:val="18"/>
          <w:szCs w:val="20"/>
        </w:rPr>
        <w:t xml:space="preserve"> million not allocated to reporting segments by the parent company (company releasing the quarterly financial statement) and from ¥1</w:t>
      </w:r>
      <w:r w:rsidR="000741BD">
        <w:rPr>
          <w:rFonts w:ascii="Arial" w:hAnsi="Arial" w:cs="Arial"/>
          <w:sz w:val="18"/>
          <w:szCs w:val="20"/>
        </w:rPr>
        <w:t>2</w:t>
      </w:r>
      <w:r>
        <w:rPr>
          <w:rFonts w:ascii="Arial" w:hAnsi="Arial" w:cs="Arial"/>
          <w:sz w:val="18"/>
          <w:szCs w:val="20"/>
        </w:rPr>
        <w:t xml:space="preserve"> million lost in trading between segments.</w:t>
      </w:r>
    </w:p>
    <w:p w14:paraId="489343B4" w14:textId="77777777" w:rsidR="00982915" w:rsidRDefault="00EB6F73">
      <w:pPr>
        <w:pStyle w:val="ListParagraph"/>
        <w:numPr>
          <w:ilvl w:val="0"/>
          <w:numId w:val="9"/>
        </w:numPr>
        <w:tabs>
          <w:tab w:val="left" w:pos="450"/>
        </w:tabs>
        <w:spacing w:after="0" w:line="240" w:lineRule="auto"/>
        <w:ind w:left="450"/>
        <w:jc w:val="both"/>
        <w:rPr>
          <w:rFonts w:ascii="Arial" w:hAnsi="Arial" w:cs="Arial"/>
          <w:sz w:val="18"/>
          <w:szCs w:val="20"/>
        </w:rPr>
      </w:pPr>
      <w:r>
        <w:rPr>
          <w:rFonts w:ascii="Arial" w:hAnsi="Arial" w:cs="Arial"/>
          <w:sz w:val="18"/>
          <w:szCs w:val="20"/>
        </w:rPr>
        <w:t>Segment income coincides with operating income (loss), as recorded in consolidated quarterly income statements.</w:t>
      </w:r>
    </w:p>
    <w:p w14:paraId="54992582" w14:textId="77777777" w:rsidR="00982915" w:rsidRDefault="00EB6F73">
      <w:pPr>
        <w:pStyle w:val="ListParagraph"/>
        <w:numPr>
          <w:ilvl w:val="0"/>
          <w:numId w:val="9"/>
        </w:numPr>
        <w:tabs>
          <w:tab w:val="left" w:pos="450"/>
        </w:tabs>
        <w:spacing w:after="0" w:line="240" w:lineRule="auto"/>
        <w:ind w:left="450"/>
        <w:jc w:val="both"/>
        <w:rPr>
          <w:rFonts w:ascii="Arial" w:hAnsi="Arial" w:cs="Arial"/>
          <w:sz w:val="18"/>
          <w:szCs w:val="20"/>
        </w:rPr>
      </w:pPr>
      <w:r>
        <w:rPr>
          <w:rFonts w:ascii="Arial" w:hAnsi="Arial" w:cs="Arial"/>
          <w:sz w:val="18"/>
          <w:szCs w:val="20"/>
        </w:rPr>
        <w:t>As noted in the “changes in accounting principles,” due to the adoption of the “Practical Solution on Transactions of Delivering the Company’s Own Stock to Employees etc. through Trusts,” the Company has retroactively applied this standard to figures for the first nine months of the preceding fiscal year. The impact of this application to segment income in the first nine months of the preceding fiscal year was slight.</w:t>
      </w:r>
    </w:p>
    <w:p w14:paraId="1240D342" w14:textId="77777777" w:rsidR="00982915" w:rsidRDefault="00982915">
      <w:pPr>
        <w:tabs>
          <w:tab w:val="left" w:pos="426"/>
        </w:tabs>
        <w:spacing w:after="0" w:line="240" w:lineRule="auto"/>
        <w:jc w:val="both"/>
        <w:rPr>
          <w:rFonts w:ascii="Arial" w:hAnsi="Arial" w:cs="Arial"/>
          <w:sz w:val="18"/>
          <w:szCs w:val="20"/>
        </w:rPr>
      </w:pPr>
    </w:p>
    <w:p w14:paraId="5BF53516" w14:textId="77777777" w:rsidR="00982915" w:rsidRDefault="00982915">
      <w:pPr>
        <w:tabs>
          <w:tab w:val="left" w:pos="426"/>
        </w:tabs>
        <w:spacing w:after="0" w:line="240" w:lineRule="auto"/>
        <w:jc w:val="both"/>
        <w:rPr>
          <w:rFonts w:ascii="Arial" w:hAnsi="Arial" w:cs="Arial"/>
          <w:sz w:val="20"/>
          <w:szCs w:val="20"/>
        </w:rPr>
      </w:pPr>
    </w:p>
    <w:p w14:paraId="690269FA" w14:textId="77777777" w:rsidR="00982915" w:rsidRDefault="00EB6F73">
      <w:pPr>
        <w:tabs>
          <w:tab w:val="left" w:pos="426"/>
        </w:tabs>
        <w:spacing w:after="0" w:line="240" w:lineRule="auto"/>
        <w:jc w:val="both"/>
        <w:rPr>
          <w:rFonts w:ascii="Arial" w:hAnsi="Arial" w:cs="Arial"/>
          <w:bCs/>
          <w:sz w:val="21"/>
          <w:szCs w:val="20"/>
        </w:rPr>
      </w:pPr>
      <w:r>
        <w:rPr>
          <w:rFonts w:ascii="Arial" w:hAnsi="Arial" w:cs="Arial"/>
          <w:bCs/>
          <w:sz w:val="21"/>
          <w:szCs w:val="20"/>
        </w:rPr>
        <w:t>2. Information Concerning Net Sales and Profits and Losses for Reporting Segments</w:t>
      </w:r>
    </w:p>
    <w:p w14:paraId="1CA8859F" w14:textId="77777777" w:rsidR="00982915" w:rsidRDefault="00EB6F73">
      <w:pPr>
        <w:tabs>
          <w:tab w:val="left" w:pos="426"/>
        </w:tabs>
        <w:spacing w:after="0" w:line="240" w:lineRule="auto"/>
        <w:jc w:val="both"/>
        <w:rPr>
          <w:rFonts w:ascii="Arial" w:hAnsi="Arial" w:cs="Arial"/>
          <w:bCs/>
          <w:sz w:val="21"/>
          <w:szCs w:val="20"/>
        </w:rPr>
      </w:pPr>
      <w:r>
        <w:rPr>
          <w:rFonts w:ascii="Arial" w:hAnsi="Arial" w:cs="Arial"/>
          <w:bCs/>
          <w:sz w:val="21"/>
          <w:szCs w:val="20"/>
        </w:rPr>
        <w:t>3Q FY2015 (January 1, 2015 – September 30, 2015)</w:t>
      </w:r>
    </w:p>
    <w:p w14:paraId="081AEA86" w14:textId="77777777" w:rsidR="00982915" w:rsidRDefault="00EB6F73">
      <w:pPr>
        <w:tabs>
          <w:tab w:val="left" w:pos="426"/>
        </w:tabs>
        <w:spacing w:after="0" w:line="240" w:lineRule="auto"/>
        <w:jc w:val="right"/>
        <w:rPr>
          <w:rFonts w:ascii="Arial" w:hAnsi="Arial" w:cs="Arial"/>
          <w:sz w:val="18"/>
          <w:szCs w:val="18"/>
        </w:rPr>
      </w:pPr>
      <w:r>
        <w:rPr>
          <w:rFonts w:ascii="Arial" w:hAnsi="Arial" w:cs="Arial"/>
          <w:sz w:val="18"/>
          <w:szCs w:val="18"/>
        </w:rPr>
        <w:t>(Millions of yen)</w:t>
      </w:r>
    </w:p>
    <w:tbl>
      <w:tblPr>
        <w:tblStyle w:val="TableGrid"/>
        <w:tblW w:w="10300" w:type="dxa"/>
        <w:tblInd w:w="108" w:type="dxa"/>
        <w:tblLayout w:type="fixed"/>
        <w:tblLook w:val="04A0" w:firstRow="1" w:lastRow="0" w:firstColumn="1" w:lastColumn="0" w:noHBand="0" w:noVBand="1"/>
      </w:tblPr>
      <w:tblGrid>
        <w:gridCol w:w="259"/>
        <w:gridCol w:w="2503"/>
        <w:gridCol w:w="1001"/>
        <w:gridCol w:w="1287"/>
        <w:gridCol w:w="1089"/>
        <w:gridCol w:w="1191"/>
        <w:gridCol w:w="1188"/>
        <w:gridCol w:w="1782"/>
      </w:tblGrid>
      <w:tr w:rsidR="00982915" w14:paraId="0CF0B6A7" w14:textId="77777777">
        <w:trPr>
          <w:trHeight w:val="216"/>
        </w:trPr>
        <w:tc>
          <w:tcPr>
            <w:tcW w:w="2762" w:type="dxa"/>
            <w:gridSpan w:val="2"/>
          </w:tcPr>
          <w:p w14:paraId="0BA3CE48" w14:textId="77777777" w:rsidR="00982915" w:rsidRDefault="00982915">
            <w:pPr>
              <w:tabs>
                <w:tab w:val="left" w:pos="426"/>
              </w:tabs>
              <w:jc w:val="both"/>
              <w:rPr>
                <w:rFonts w:ascii="Arial" w:hAnsi="Arial" w:cs="Arial"/>
                <w:sz w:val="18"/>
                <w:szCs w:val="18"/>
              </w:rPr>
            </w:pPr>
          </w:p>
        </w:tc>
        <w:tc>
          <w:tcPr>
            <w:tcW w:w="4568" w:type="dxa"/>
            <w:gridSpan w:val="4"/>
            <w:vAlign w:val="center"/>
          </w:tcPr>
          <w:p w14:paraId="262D4B18" w14:textId="77777777" w:rsidR="00982915" w:rsidRDefault="00EB6F73">
            <w:pPr>
              <w:tabs>
                <w:tab w:val="left" w:pos="426"/>
              </w:tabs>
              <w:jc w:val="center"/>
              <w:rPr>
                <w:rFonts w:ascii="Arial" w:hAnsi="Arial" w:cs="Arial"/>
                <w:sz w:val="18"/>
                <w:szCs w:val="18"/>
              </w:rPr>
            </w:pPr>
            <w:r>
              <w:rPr>
                <w:rFonts w:ascii="Arial" w:hAnsi="Arial" w:cs="Arial"/>
                <w:sz w:val="18"/>
                <w:szCs w:val="18"/>
              </w:rPr>
              <w:t>Reporting Segment</w:t>
            </w:r>
          </w:p>
        </w:tc>
        <w:tc>
          <w:tcPr>
            <w:tcW w:w="1188" w:type="dxa"/>
            <w:vMerge w:val="restart"/>
            <w:vAlign w:val="center"/>
          </w:tcPr>
          <w:p w14:paraId="32A68E45" w14:textId="77777777" w:rsidR="00982915" w:rsidRDefault="00EB6F73">
            <w:pPr>
              <w:tabs>
                <w:tab w:val="left" w:pos="426"/>
              </w:tabs>
              <w:jc w:val="center"/>
              <w:rPr>
                <w:rFonts w:ascii="Arial" w:hAnsi="Arial" w:cs="Arial"/>
                <w:sz w:val="18"/>
                <w:szCs w:val="18"/>
              </w:rPr>
            </w:pPr>
            <w:r>
              <w:rPr>
                <w:rFonts w:ascii="Arial" w:hAnsi="Arial" w:cs="Arial"/>
                <w:sz w:val="18"/>
                <w:szCs w:val="18"/>
              </w:rPr>
              <w:t>Adjustment Amount *1</w:t>
            </w:r>
          </w:p>
        </w:tc>
        <w:tc>
          <w:tcPr>
            <w:tcW w:w="1782" w:type="dxa"/>
            <w:vMerge w:val="restart"/>
            <w:vAlign w:val="center"/>
          </w:tcPr>
          <w:p w14:paraId="3AACA989" w14:textId="77777777" w:rsidR="00982915" w:rsidRDefault="00EB6F73">
            <w:pPr>
              <w:tabs>
                <w:tab w:val="left" w:pos="426"/>
              </w:tabs>
              <w:jc w:val="center"/>
              <w:rPr>
                <w:rFonts w:ascii="Arial" w:hAnsi="Arial" w:cs="Arial"/>
                <w:sz w:val="18"/>
                <w:szCs w:val="18"/>
              </w:rPr>
            </w:pPr>
            <w:r>
              <w:rPr>
                <w:rFonts w:ascii="Arial" w:hAnsi="Arial" w:cs="Arial"/>
                <w:sz w:val="18"/>
                <w:szCs w:val="18"/>
              </w:rPr>
              <w:t>Consolidated Quarterly Income Statement Amount *2</w:t>
            </w:r>
          </w:p>
        </w:tc>
      </w:tr>
      <w:tr w:rsidR="00982915" w14:paraId="1B9E4C54" w14:textId="77777777">
        <w:trPr>
          <w:trHeight w:val="851"/>
        </w:trPr>
        <w:tc>
          <w:tcPr>
            <w:tcW w:w="2762" w:type="dxa"/>
            <w:gridSpan w:val="2"/>
          </w:tcPr>
          <w:p w14:paraId="099BDBE5" w14:textId="77777777" w:rsidR="00982915" w:rsidRDefault="00982915">
            <w:pPr>
              <w:tabs>
                <w:tab w:val="left" w:pos="426"/>
              </w:tabs>
              <w:jc w:val="both"/>
              <w:rPr>
                <w:rFonts w:ascii="Arial" w:hAnsi="Arial" w:cs="Arial"/>
                <w:sz w:val="18"/>
                <w:szCs w:val="18"/>
              </w:rPr>
            </w:pPr>
          </w:p>
        </w:tc>
        <w:tc>
          <w:tcPr>
            <w:tcW w:w="1001" w:type="dxa"/>
            <w:vAlign w:val="center"/>
          </w:tcPr>
          <w:p w14:paraId="3B4F8EA6" w14:textId="77777777" w:rsidR="00982915" w:rsidRDefault="00EB6F73">
            <w:pPr>
              <w:tabs>
                <w:tab w:val="left" w:pos="426"/>
              </w:tabs>
              <w:jc w:val="center"/>
              <w:rPr>
                <w:rFonts w:ascii="Arial" w:hAnsi="Arial" w:cs="Arial"/>
                <w:sz w:val="18"/>
                <w:szCs w:val="18"/>
              </w:rPr>
            </w:pPr>
            <w:r>
              <w:rPr>
                <w:rFonts w:ascii="Arial" w:hAnsi="Arial" w:cs="Arial"/>
                <w:sz w:val="18"/>
                <w:szCs w:val="18"/>
              </w:rPr>
              <w:t>Logistics</w:t>
            </w:r>
          </w:p>
        </w:tc>
        <w:tc>
          <w:tcPr>
            <w:tcW w:w="1287" w:type="dxa"/>
            <w:vAlign w:val="center"/>
          </w:tcPr>
          <w:p w14:paraId="76204174" w14:textId="77777777" w:rsidR="00982915" w:rsidRDefault="00EB6F73">
            <w:pPr>
              <w:tabs>
                <w:tab w:val="left" w:pos="426"/>
              </w:tabs>
              <w:jc w:val="center"/>
              <w:rPr>
                <w:rFonts w:ascii="Arial" w:hAnsi="Arial" w:cs="Arial"/>
                <w:sz w:val="18"/>
                <w:szCs w:val="18"/>
              </w:rPr>
            </w:pPr>
            <w:r>
              <w:rPr>
                <w:rFonts w:ascii="Arial" w:hAnsi="Arial" w:cs="Arial"/>
                <w:sz w:val="18"/>
                <w:szCs w:val="18"/>
              </w:rPr>
              <w:t>Property</w:t>
            </w:r>
          </w:p>
          <w:p w14:paraId="4E7C0676" w14:textId="77777777" w:rsidR="00982915" w:rsidRDefault="00EB6F73">
            <w:pPr>
              <w:tabs>
                <w:tab w:val="left" w:pos="426"/>
              </w:tabs>
              <w:jc w:val="center"/>
              <w:rPr>
                <w:rFonts w:ascii="Arial" w:hAnsi="Arial" w:cs="Arial"/>
                <w:sz w:val="18"/>
                <w:szCs w:val="18"/>
              </w:rPr>
            </w:pPr>
            <w:r>
              <w:rPr>
                <w:rFonts w:ascii="Arial" w:hAnsi="Arial" w:cs="Arial"/>
                <w:sz w:val="18"/>
                <w:szCs w:val="18"/>
              </w:rPr>
              <w:t>Management</w:t>
            </w:r>
          </w:p>
          <w:p w14:paraId="0710B882" w14:textId="77777777" w:rsidR="00982915" w:rsidRDefault="00EB6F73">
            <w:pPr>
              <w:tabs>
                <w:tab w:val="left" w:pos="426"/>
              </w:tabs>
              <w:jc w:val="center"/>
              <w:rPr>
                <w:rFonts w:ascii="Arial" w:hAnsi="Arial" w:cs="Arial"/>
                <w:sz w:val="18"/>
                <w:szCs w:val="18"/>
              </w:rPr>
            </w:pPr>
            <w:r>
              <w:rPr>
                <w:rFonts w:ascii="Arial" w:hAnsi="Arial" w:cs="Arial"/>
                <w:sz w:val="18"/>
                <w:szCs w:val="18"/>
              </w:rPr>
              <w:t>Business</w:t>
            </w:r>
          </w:p>
        </w:tc>
        <w:tc>
          <w:tcPr>
            <w:tcW w:w="1089" w:type="dxa"/>
            <w:vAlign w:val="center"/>
          </w:tcPr>
          <w:p w14:paraId="27830C53" w14:textId="77777777" w:rsidR="00982915" w:rsidRDefault="00EB6F73">
            <w:pPr>
              <w:tabs>
                <w:tab w:val="left" w:pos="426"/>
              </w:tabs>
              <w:jc w:val="center"/>
              <w:rPr>
                <w:rFonts w:ascii="Arial" w:hAnsi="Arial" w:cs="Arial"/>
                <w:sz w:val="18"/>
                <w:szCs w:val="18"/>
              </w:rPr>
            </w:pPr>
            <w:r>
              <w:rPr>
                <w:rFonts w:ascii="Arial" w:hAnsi="Arial" w:cs="Arial"/>
                <w:sz w:val="18"/>
                <w:szCs w:val="18"/>
              </w:rPr>
              <w:t>Other Business</w:t>
            </w:r>
          </w:p>
        </w:tc>
        <w:tc>
          <w:tcPr>
            <w:tcW w:w="1190" w:type="dxa"/>
            <w:vAlign w:val="center"/>
          </w:tcPr>
          <w:p w14:paraId="697C8F5C" w14:textId="77777777" w:rsidR="00982915" w:rsidRDefault="00EB6F73">
            <w:pPr>
              <w:tabs>
                <w:tab w:val="left" w:pos="426"/>
              </w:tabs>
              <w:jc w:val="center"/>
              <w:rPr>
                <w:rFonts w:ascii="Arial" w:hAnsi="Arial" w:cs="Arial"/>
                <w:sz w:val="18"/>
                <w:szCs w:val="18"/>
              </w:rPr>
            </w:pPr>
            <w:r>
              <w:rPr>
                <w:rFonts w:ascii="Arial" w:hAnsi="Arial" w:cs="Arial"/>
                <w:sz w:val="18"/>
                <w:szCs w:val="18"/>
              </w:rPr>
              <w:t>Total</w:t>
            </w:r>
          </w:p>
        </w:tc>
        <w:tc>
          <w:tcPr>
            <w:tcW w:w="1188" w:type="dxa"/>
            <w:vMerge/>
            <w:vAlign w:val="center"/>
          </w:tcPr>
          <w:p w14:paraId="6A94BA00" w14:textId="77777777" w:rsidR="00982915" w:rsidRDefault="00982915">
            <w:pPr>
              <w:tabs>
                <w:tab w:val="left" w:pos="426"/>
              </w:tabs>
              <w:jc w:val="center"/>
              <w:rPr>
                <w:rFonts w:ascii="Arial" w:hAnsi="Arial" w:cs="Arial"/>
                <w:sz w:val="18"/>
                <w:szCs w:val="18"/>
              </w:rPr>
            </w:pPr>
          </w:p>
        </w:tc>
        <w:tc>
          <w:tcPr>
            <w:tcW w:w="1782" w:type="dxa"/>
            <w:vMerge/>
            <w:vAlign w:val="center"/>
          </w:tcPr>
          <w:p w14:paraId="66B07C52" w14:textId="77777777" w:rsidR="00982915" w:rsidRDefault="00982915">
            <w:pPr>
              <w:tabs>
                <w:tab w:val="left" w:pos="426"/>
              </w:tabs>
              <w:jc w:val="center"/>
              <w:rPr>
                <w:rFonts w:ascii="Arial" w:hAnsi="Arial" w:cs="Arial"/>
                <w:sz w:val="18"/>
                <w:szCs w:val="18"/>
              </w:rPr>
            </w:pPr>
          </w:p>
        </w:tc>
      </w:tr>
      <w:tr w:rsidR="00982915" w14:paraId="4C4C349E" w14:textId="77777777">
        <w:trPr>
          <w:trHeight w:val="200"/>
        </w:trPr>
        <w:tc>
          <w:tcPr>
            <w:tcW w:w="2762" w:type="dxa"/>
            <w:gridSpan w:val="2"/>
            <w:tcBorders>
              <w:bottom w:val="nil"/>
            </w:tcBorders>
            <w:vAlign w:val="center"/>
          </w:tcPr>
          <w:p w14:paraId="22E2F3A1" w14:textId="77777777" w:rsidR="00982915" w:rsidRDefault="00EB6F73">
            <w:pPr>
              <w:tabs>
                <w:tab w:val="left" w:pos="426"/>
              </w:tabs>
              <w:rPr>
                <w:rFonts w:ascii="Arial" w:hAnsi="Arial" w:cs="Arial"/>
                <w:sz w:val="18"/>
                <w:szCs w:val="18"/>
              </w:rPr>
            </w:pPr>
            <w:r>
              <w:rPr>
                <w:rFonts w:ascii="Arial" w:hAnsi="Arial" w:cs="Arial"/>
                <w:sz w:val="18"/>
                <w:szCs w:val="18"/>
              </w:rPr>
              <w:t>Net sales</w:t>
            </w:r>
          </w:p>
        </w:tc>
        <w:tc>
          <w:tcPr>
            <w:tcW w:w="1001" w:type="dxa"/>
            <w:tcBorders>
              <w:bottom w:val="nil"/>
            </w:tcBorders>
          </w:tcPr>
          <w:p w14:paraId="77A93B68" w14:textId="77777777" w:rsidR="00982915" w:rsidRDefault="00982915">
            <w:pPr>
              <w:tabs>
                <w:tab w:val="left" w:pos="426"/>
              </w:tabs>
              <w:jc w:val="both"/>
              <w:rPr>
                <w:rFonts w:ascii="Arial" w:hAnsi="Arial" w:cs="Arial"/>
                <w:sz w:val="18"/>
                <w:szCs w:val="18"/>
              </w:rPr>
            </w:pPr>
          </w:p>
        </w:tc>
        <w:tc>
          <w:tcPr>
            <w:tcW w:w="1287" w:type="dxa"/>
            <w:tcBorders>
              <w:bottom w:val="nil"/>
            </w:tcBorders>
          </w:tcPr>
          <w:p w14:paraId="3258EF68" w14:textId="77777777" w:rsidR="00982915" w:rsidRDefault="00982915">
            <w:pPr>
              <w:tabs>
                <w:tab w:val="left" w:pos="426"/>
              </w:tabs>
              <w:jc w:val="both"/>
              <w:rPr>
                <w:rFonts w:ascii="Arial" w:hAnsi="Arial" w:cs="Arial"/>
                <w:sz w:val="18"/>
                <w:szCs w:val="18"/>
              </w:rPr>
            </w:pPr>
          </w:p>
        </w:tc>
        <w:tc>
          <w:tcPr>
            <w:tcW w:w="1089" w:type="dxa"/>
            <w:tcBorders>
              <w:bottom w:val="nil"/>
            </w:tcBorders>
          </w:tcPr>
          <w:p w14:paraId="18E52E8B" w14:textId="77777777" w:rsidR="00982915" w:rsidRDefault="00982915">
            <w:pPr>
              <w:tabs>
                <w:tab w:val="left" w:pos="426"/>
              </w:tabs>
              <w:jc w:val="both"/>
              <w:rPr>
                <w:rFonts w:ascii="Arial" w:hAnsi="Arial" w:cs="Arial"/>
                <w:sz w:val="18"/>
                <w:szCs w:val="18"/>
              </w:rPr>
            </w:pPr>
          </w:p>
        </w:tc>
        <w:tc>
          <w:tcPr>
            <w:tcW w:w="1190" w:type="dxa"/>
            <w:tcBorders>
              <w:bottom w:val="nil"/>
            </w:tcBorders>
          </w:tcPr>
          <w:p w14:paraId="2B374218" w14:textId="77777777" w:rsidR="00982915" w:rsidRDefault="00982915">
            <w:pPr>
              <w:tabs>
                <w:tab w:val="left" w:pos="426"/>
              </w:tabs>
              <w:jc w:val="both"/>
              <w:rPr>
                <w:rFonts w:ascii="Arial" w:hAnsi="Arial" w:cs="Arial"/>
                <w:sz w:val="18"/>
                <w:szCs w:val="18"/>
              </w:rPr>
            </w:pPr>
          </w:p>
        </w:tc>
        <w:tc>
          <w:tcPr>
            <w:tcW w:w="1188" w:type="dxa"/>
            <w:tcBorders>
              <w:bottom w:val="nil"/>
            </w:tcBorders>
          </w:tcPr>
          <w:p w14:paraId="01EF6405" w14:textId="77777777" w:rsidR="00982915" w:rsidRDefault="00982915">
            <w:pPr>
              <w:tabs>
                <w:tab w:val="left" w:pos="426"/>
              </w:tabs>
              <w:jc w:val="both"/>
              <w:rPr>
                <w:rFonts w:ascii="Arial" w:hAnsi="Arial" w:cs="Arial"/>
                <w:sz w:val="18"/>
                <w:szCs w:val="18"/>
              </w:rPr>
            </w:pPr>
          </w:p>
        </w:tc>
        <w:tc>
          <w:tcPr>
            <w:tcW w:w="1782" w:type="dxa"/>
            <w:tcBorders>
              <w:bottom w:val="nil"/>
            </w:tcBorders>
          </w:tcPr>
          <w:p w14:paraId="57DCCA5D" w14:textId="77777777" w:rsidR="00982915" w:rsidRDefault="00982915">
            <w:pPr>
              <w:tabs>
                <w:tab w:val="left" w:pos="426"/>
              </w:tabs>
              <w:jc w:val="both"/>
              <w:rPr>
                <w:rFonts w:ascii="Arial" w:hAnsi="Arial" w:cs="Arial"/>
                <w:sz w:val="18"/>
                <w:szCs w:val="18"/>
              </w:rPr>
            </w:pPr>
          </w:p>
        </w:tc>
      </w:tr>
      <w:tr w:rsidR="00982915" w14:paraId="67860EC8" w14:textId="77777777">
        <w:trPr>
          <w:trHeight w:val="97"/>
        </w:trPr>
        <w:tc>
          <w:tcPr>
            <w:tcW w:w="259" w:type="dxa"/>
            <w:tcBorders>
              <w:top w:val="nil"/>
              <w:bottom w:val="nil"/>
              <w:right w:val="nil"/>
            </w:tcBorders>
            <w:vAlign w:val="center"/>
          </w:tcPr>
          <w:p w14:paraId="228B7248" w14:textId="77777777" w:rsidR="00982915" w:rsidRDefault="00982915">
            <w:pPr>
              <w:tabs>
                <w:tab w:val="left" w:pos="426"/>
              </w:tabs>
              <w:rPr>
                <w:rFonts w:ascii="Arial" w:hAnsi="Arial" w:cs="Arial"/>
                <w:sz w:val="18"/>
                <w:szCs w:val="18"/>
              </w:rPr>
            </w:pPr>
          </w:p>
        </w:tc>
        <w:tc>
          <w:tcPr>
            <w:tcW w:w="2503" w:type="dxa"/>
            <w:tcBorders>
              <w:top w:val="nil"/>
              <w:left w:val="nil"/>
              <w:bottom w:val="nil"/>
            </w:tcBorders>
            <w:vAlign w:val="center"/>
          </w:tcPr>
          <w:p w14:paraId="5AAC08AD" w14:textId="77777777" w:rsidR="00982915" w:rsidRDefault="00EB6F73">
            <w:pPr>
              <w:tabs>
                <w:tab w:val="left" w:pos="426"/>
              </w:tabs>
              <w:rPr>
                <w:rFonts w:ascii="Arial" w:hAnsi="Arial" w:cs="Arial"/>
                <w:sz w:val="18"/>
                <w:szCs w:val="18"/>
              </w:rPr>
            </w:pPr>
            <w:r>
              <w:rPr>
                <w:rFonts w:ascii="Arial" w:hAnsi="Arial" w:cs="Arial"/>
                <w:sz w:val="18"/>
                <w:szCs w:val="18"/>
              </w:rPr>
              <w:t xml:space="preserve">Sales to external customers </w:t>
            </w:r>
          </w:p>
        </w:tc>
        <w:tc>
          <w:tcPr>
            <w:tcW w:w="1001" w:type="dxa"/>
            <w:tcBorders>
              <w:top w:val="nil"/>
              <w:bottom w:val="nil"/>
            </w:tcBorders>
            <w:vAlign w:val="center"/>
          </w:tcPr>
          <w:p w14:paraId="14D5AA7E" w14:textId="4D5AD5FB" w:rsidR="00982915" w:rsidRDefault="00982915">
            <w:pPr>
              <w:tabs>
                <w:tab w:val="left" w:pos="426"/>
              </w:tabs>
              <w:jc w:val="right"/>
              <w:rPr>
                <w:rFonts w:ascii="Arial" w:hAnsi="Arial" w:cs="Arial"/>
                <w:sz w:val="18"/>
                <w:szCs w:val="18"/>
              </w:rPr>
            </w:pPr>
          </w:p>
        </w:tc>
        <w:tc>
          <w:tcPr>
            <w:tcW w:w="1287" w:type="dxa"/>
            <w:tcBorders>
              <w:top w:val="nil"/>
              <w:bottom w:val="nil"/>
            </w:tcBorders>
            <w:vAlign w:val="center"/>
          </w:tcPr>
          <w:p w14:paraId="63FA6EDA" w14:textId="69110788" w:rsidR="00982915" w:rsidRDefault="00982915">
            <w:pPr>
              <w:tabs>
                <w:tab w:val="left" w:pos="426"/>
              </w:tabs>
              <w:jc w:val="right"/>
              <w:rPr>
                <w:rFonts w:ascii="Arial" w:hAnsi="Arial" w:cs="Arial"/>
                <w:sz w:val="18"/>
                <w:szCs w:val="18"/>
              </w:rPr>
            </w:pPr>
          </w:p>
        </w:tc>
        <w:tc>
          <w:tcPr>
            <w:tcW w:w="1089" w:type="dxa"/>
            <w:tcBorders>
              <w:top w:val="nil"/>
              <w:bottom w:val="nil"/>
            </w:tcBorders>
            <w:vAlign w:val="center"/>
          </w:tcPr>
          <w:p w14:paraId="197B7B30" w14:textId="7F1BD03F" w:rsidR="00982915" w:rsidRDefault="00982915">
            <w:pPr>
              <w:tabs>
                <w:tab w:val="left" w:pos="426"/>
              </w:tabs>
              <w:jc w:val="right"/>
              <w:rPr>
                <w:rFonts w:ascii="Arial" w:hAnsi="Arial" w:cs="Arial"/>
                <w:sz w:val="18"/>
                <w:szCs w:val="18"/>
              </w:rPr>
            </w:pPr>
          </w:p>
        </w:tc>
        <w:tc>
          <w:tcPr>
            <w:tcW w:w="1190" w:type="dxa"/>
            <w:tcBorders>
              <w:top w:val="nil"/>
              <w:bottom w:val="nil"/>
            </w:tcBorders>
            <w:vAlign w:val="center"/>
          </w:tcPr>
          <w:p w14:paraId="313199AF" w14:textId="1345FD87" w:rsidR="00982915" w:rsidRDefault="00982915">
            <w:pPr>
              <w:tabs>
                <w:tab w:val="left" w:pos="426"/>
              </w:tabs>
              <w:jc w:val="right"/>
              <w:rPr>
                <w:rFonts w:ascii="Arial" w:hAnsi="Arial" w:cs="Arial"/>
                <w:sz w:val="18"/>
                <w:szCs w:val="18"/>
              </w:rPr>
            </w:pPr>
          </w:p>
        </w:tc>
        <w:tc>
          <w:tcPr>
            <w:tcW w:w="1188" w:type="dxa"/>
            <w:tcBorders>
              <w:top w:val="nil"/>
              <w:bottom w:val="nil"/>
            </w:tcBorders>
            <w:vAlign w:val="center"/>
          </w:tcPr>
          <w:p w14:paraId="56E19FB8" w14:textId="224384AF" w:rsidR="00982915" w:rsidRDefault="00982915">
            <w:pPr>
              <w:tabs>
                <w:tab w:val="left" w:pos="426"/>
              </w:tabs>
              <w:jc w:val="right"/>
              <w:rPr>
                <w:rFonts w:ascii="Arial" w:hAnsi="Arial" w:cs="Arial"/>
                <w:sz w:val="18"/>
                <w:szCs w:val="18"/>
              </w:rPr>
            </w:pPr>
          </w:p>
        </w:tc>
        <w:tc>
          <w:tcPr>
            <w:tcW w:w="1782" w:type="dxa"/>
            <w:tcBorders>
              <w:top w:val="nil"/>
              <w:bottom w:val="nil"/>
            </w:tcBorders>
            <w:vAlign w:val="center"/>
          </w:tcPr>
          <w:p w14:paraId="28B94B2F" w14:textId="7CB76250" w:rsidR="00982915" w:rsidRDefault="00982915">
            <w:pPr>
              <w:tabs>
                <w:tab w:val="left" w:pos="426"/>
              </w:tabs>
              <w:jc w:val="right"/>
              <w:rPr>
                <w:rFonts w:ascii="Arial" w:hAnsi="Arial" w:cs="Arial"/>
                <w:sz w:val="18"/>
                <w:szCs w:val="18"/>
              </w:rPr>
            </w:pPr>
          </w:p>
        </w:tc>
      </w:tr>
      <w:tr w:rsidR="00982915" w14:paraId="745F8FF1" w14:textId="77777777">
        <w:trPr>
          <w:trHeight w:val="426"/>
        </w:trPr>
        <w:tc>
          <w:tcPr>
            <w:tcW w:w="259" w:type="dxa"/>
            <w:tcBorders>
              <w:top w:val="nil"/>
              <w:right w:val="nil"/>
            </w:tcBorders>
            <w:vAlign w:val="center"/>
          </w:tcPr>
          <w:p w14:paraId="1CF1FE27" w14:textId="77777777" w:rsidR="00982915" w:rsidRDefault="00982915">
            <w:pPr>
              <w:tabs>
                <w:tab w:val="left" w:pos="426"/>
              </w:tabs>
              <w:rPr>
                <w:rFonts w:ascii="Arial" w:hAnsi="Arial" w:cs="Arial"/>
                <w:sz w:val="18"/>
                <w:szCs w:val="18"/>
              </w:rPr>
            </w:pPr>
          </w:p>
        </w:tc>
        <w:tc>
          <w:tcPr>
            <w:tcW w:w="2503" w:type="dxa"/>
            <w:tcBorders>
              <w:top w:val="nil"/>
              <w:left w:val="nil"/>
            </w:tcBorders>
            <w:vAlign w:val="center"/>
          </w:tcPr>
          <w:p w14:paraId="0AAFDC70" w14:textId="77777777" w:rsidR="00982915" w:rsidRDefault="00EB6F73">
            <w:pPr>
              <w:tabs>
                <w:tab w:val="left" w:pos="426"/>
              </w:tabs>
              <w:rPr>
                <w:rFonts w:ascii="Arial" w:hAnsi="Arial" w:cs="Arial"/>
                <w:sz w:val="18"/>
                <w:szCs w:val="18"/>
              </w:rPr>
            </w:pPr>
            <w:r>
              <w:rPr>
                <w:rFonts w:ascii="Arial" w:hAnsi="Arial" w:cs="Arial"/>
                <w:sz w:val="18"/>
                <w:szCs w:val="18"/>
              </w:rPr>
              <w:t>Inter-segment sales or transfers</w:t>
            </w:r>
          </w:p>
        </w:tc>
        <w:tc>
          <w:tcPr>
            <w:tcW w:w="1001" w:type="dxa"/>
            <w:tcBorders>
              <w:top w:val="nil"/>
            </w:tcBorders>
            <w:vAlign w:val="center"/>
          </w:tcPr>
          <w:p w14:paraId="17A865FE" w14:textId="248434D6" w:rsidR="00982915" w:rsidRDefault="00982915">
            <w:pPr>
              <w:tabs>
                <w:tab w:val="left" w:pos="426"/>
              </w:tabs>
              <w:jc w:val="right"/>
              <w:rPr>
                <w:rFonts w:ascii="Arial" w:hAnsi="Arial" w:cs="Arial"/>
                <w:sz w:val="18"/>
                <w:szCs w:val="18"/>
              </w:rPr>
            </w:pPr>
          </w:p>
        </w:tc>
        <w:tc>
          <w:tcPr>
            <w:tcW w:w="1287" w:type="dxa"/>
            <w:tcBorders>
              <w:top w:val="nil"/>
            </w:tcBorders>
            <w:vAlign w:val="center"/>
          </w:tcPr>
          <w:p w14:paraId="325D88AE" w14:textId="45B0A3AE" w:rsidR="00982915" w:rsidRDefault="00982915">
            <w:pPr>
              <w:tabs>
                <w:tab w:val="left" w:pos="426"/>
              </w:tabs>
              <w:jc w:val="right"/>
              <w:rPr>
                <w:rFonts w:ascii="Arial" w:hAnsi="Arial" w:cs="Arial"/>
                <w:sz w:val="18"/>
                <w:szCs w:val="18"/>
              </w:rPr>
            </w:pPr>
          </w:p>
        </w:tc>
        <w:tc>
          <w:tcPr>
            <w:tcW w:w="1089" w:type="dxa"/>
            <w:tcBorders>
              <w:top w:val="nil"/>
            </w:tcBorders>
            <w:vAlign w:val="center"/>
          </w:tcPr>
          <w:p w14:paraId="49515905" w14:textId="0C842CA0" w:rsidR="00982915" w:rsidRDefault="00982915">
            <w:pPr>
              <w:tabs>
                <w:tab w:val="left" w:pos="426"/>
              </w:tabs>
              <w:jc w:val="right"/>
              <w:rPr>
                <w:rFonts w:ascii="Arial" w:hAnsi="Arial" w:cs="Arial"/>
                <w:sz w:val="18"/>
                <w:szCs w:val="18"/>
              </w:rPr>
            </w:pPr>
          </w:p>
        </w:tc>
        <w:tc>
          <w:tcPr>
            <w:tcW w:w="1190" w:type="dxa"/>
            <w:tcBorders>
              <w:top w:val="nil"/>
            </w:tcBorders>
            <w:vAlign w:val="center"/>
          </w:tcPr>
          <w:p w14:paraId="50D0FE8A" w14:textId="525B1D69" w:rsidR="00982915" w:rsidRDefault="00982915">
            <w:pPr>
              <w:tabs>
                <w:tab w:val="left" w:pos="426"/>
              </w:tabs>
              <w:jc w:val="right"/>
              <w:rPr>
                <w:rFonts w:ascii="Arial" w:hAnsi="Arial" w:cs="Arial"/>
                <w:sz w:val="18"/>
                <w:szCs w:val="18"/>
              </w:rPr>
            </w:pPr>
          </w:p>
        </w:tc>
        <w:tc>
          <w:tcPr>
            <w:tcW w:w="1188" w:type="dxa"/>
            <w:tcBorders>
              <w:top w:val="nil"/>
            </w:tcBorders>
            <w:vAlign w:val="center"/>
          </w:tcPr>
          <w:p w14:paraId="7CC1D948" w14:textId="303A9461" w:rsidR="00982915" w:rsidRDefault="00982915">
            <w:pPr>
              <w:tabs>
                <w:tab w:val="left" w:pos="426"/>
              </w:tabs>
              <w:jc w:val="right"/>
              <w:rPr>
                <w:rFonts w:ascii="Arial" w:hAnsi="Arial" w:cs="Arial"/>
                <w:sz w:val="18"/>
                <w:szCs w:val="18"/>
              </w:rPr>
            </w:pPr>
          </w:p>
        </w:tc>
        <w:tc>
          <w:tcPr>
            <w:tcW w:w="1782" w:type="dxa"/>
            <w:tcBorders>
              <w:top w:val="nil"/>
            </w:tcBorders>
            <w:vAlign w:val="center"/>
          </w:tcPr>
          <w:p w14:paraId="33B9A79A" w14:textId="30CFD567" w:rsidR="00982915" w:rsidRDefault="00982915">
            <w:pPr>
              <w:tabs>
                <w:tab w:val="left" w:pos="426"/>
              </w:tabs>
              <w:jc w:val="right"/>
              <w:rPr>
                <w:rFonts w:ascii="Arial" w:hAnsi="Arial" w:cs="Arial"/>
                <w:sz w:val="18"/>
                <w:szCs w:val="18"/>
              </w:rPr>
            </w:pPr>
          </w:p>
        </w:tc>
      </w:tr>
      <w:tr w:rsidR="00982915" w14:paraId="012286B2" w14:textId="77777777">
        <w:trPr>
          <w:trHeight w:val="216"/>
        </w:trPr>
        <w:tc>
          <w:tcPr>
            <w:tcW w:w="2762" w:type="dxa"/>
            <w:gridSpan w:val="2"/>
            <w:vAlign w:val="center"/>
          </w:tcPr>
          <w:p w14:paraId="1121F7F4" w14:textId="77777777" w:rsidR="00982915" w:rsidRDefault="00EB6F73">
            <w:pPr>
              <w:tabs>
                <w:tab w:val="left" w:pos="426"/>
              </w:tabs>
              <w:rPr>
                <w:rFonts w:ascii="Arial" w:hAnsi="Arial" w:cs="Arial"/>
                <w:sz w:val="18"/>
                <w:szCs w:val="18"/>
              </w:rPr>
            </w:pPr>
            <w:r>
              <w:rPr>
                <w:rFonts w:ascii="Arial" w:hAnsi="Arial" w:cs="Arial"/>
                <w:sz w:val="18"/>
                <w:szCs w:val="18"/>
              </w:rPr>
              <w:t>Total</w:t>
            </w:r>
          </w:p>
        </w:tc>
        <w:tc>
          <w:tcPr>
            <w:tcW w:w="1001" w:type="dxa"/>
            <w:vAlign w:val="center"/>
          </w:tcPr>
          <w:p w14:paraId="5F321897" w14:textId="663A9050" w:rsidR="00982915" w:rsidRDefault="00982915">
            <w:pPr>
              <w:tabs>
                <w:tab w:val="left" w:pos="426"/>
              </w:tabs>
              <w:jc w:val="right"/>
              <w:rPr>
                <w:rFonts w:ascii="Arial" w:hAnsi="Arial" w:cs="Arial"/>
                <w:sz w:val="18"/>
                <w:szCs w:val="18"/>
              </w:rPr>
            </w:pPr>
          </w:p>
        </w:tc>
        <w:tc>
          <w:tcPr>
            <w:tcW w:w="1287" w:type="dxa"/>
            <w:vAlign w:val="center"/>
          </w:tcPr>
          <w:p w14:paraId="1FE6479A" w14:textId="4BC1D5F9" w:rsidR="00982915" w:rsidRDefault="00982915">
            <w:pPr>
              <w:tabs>
                <w:tab w:val="left" w:pos="426"/>
              </w:tabs>
              <w:jc w:val="right"/>
              <w:rPr>
                <w:rFonts w:ascii="Arial" w:hAnsi="Arial" w:cs="Arial"/>
                <w:sz w:val="18"/>
                <w:szCs w:val="18"/>
              </w:rPr>
            </w:pPr>
          </w:p>
        </w:tc>
        <w:tc>
          <w:tcPr>
            <w:tcW w:w="1089" w:type="dxa"/>
            <w:vAlign w:val="center"/>
          </w:tcPr>
          <w:p w14:paraId="6055A441" w14:textId="27964AD7" w:rsidR="00982915" w:rsidRDefault="00982915">
            <w:pPr>
              <w:tabs>
                <w:tab w:val="left" w:pos="426"/>
              </w:tabs>
              <w:jc w:val="right"/>
              <w:rPr>
                <w:rFonts w:ascii="Arial" w:hAnsi="Arial" w:cs="Arial"/>
                <w:sz w:val="18"/>
                <w:szCs w:val="18"/>
              </w:rPr>
            </w:pPr>
          </w:p>
        </w:tc>
        <w:tc>
          <w:tcPr>
            <w:tcW w:w="1190" w:type="dxa"/>
            <w:vAlign w:val="center"/>
          </w:tcPr>
          <w:p w14:paraId="508B2C20" w14:textId="7E694558" w:rsidR="00982915" w:rsidRDefault="00982915">
            <w:pPr>
              <w:tabs>
                <w:tab w:val="left" w:pos="426"/>
              </w:tabs>
              <w:jc w:val="right"/>
              <w:rPr>
                <w:rFonts w:ascii="Arial" w:hAnsi="Arial" w:cs="Arial"/>
                <w:sz w:val="18"/>
                <w:szCs w:val="18"/>
              </w:rPr>
            </w:pPr>
          </w:p>
        </w:tc>
        <w:tc>
          <w:tcPr>
            <w:tcW w:w="1188" w:type="dxa"/>
            <w:vAlign w:val="center"/>
          </w:tcPr>
          <w:p w14:paraId="0628B1A7" w14:textId="34821B97" w:rsidR="00982915" w:rsidRDefault="00982915">
            <w:pPr>
              <w:tabs>
                <w:tab w:val="left" w:pos="426"/>
              </w:tabs>
              <w:jc w:val="right"/>
              <w:rPr>
                <w:rFonts w:ascii="Arial" w:hAnsi="Arial" w:cs="Arial"/>
                <w:sz w:val="18"/>
                <w:szCs w:val="18"/>
              </w:rPr>
            </w:pPr>
          </w:p>
        </w:tc>
        <w:tc>
          <w:tcPr>
            <w:tcW w:w="1782" w:type="dxa"/>
            <w:vAlign w:val="center"/>
          </w:tcPr>
          <w:p w14:paraId="623407F7" w14:textId="7EEBBB6C" w:rsidR="00982915" w:rsidRDefault="00982915">
            <w:pPr>
              <w:tabs>
                <w:tab w:val="left" w:pos="426"/>
              </w:tabs>
              <w:jc w:val="right"/>
              <w:rPr>
                <w:rFonts w:ascii="Arial" w:hAnsi="Arial" w:cs="Arial"/>
                <w:sz w:val="18"/>
                <w:szCs w:val="18"/>
              </w:rPr>
            </w:pPr>
          </w:p>
        </w:tc>
      </w:tr>
      <w:tr w:rsidR="00982915" w14:paraId="25D0296B" w14:textId="77777777">
        <w:trPr>
          <w:trHeight w:val="231"/>
        </w:trPr>
        <w:tc>
          <w:tcPr>
            <w:tcW w:w="2762" w:type="dxa"/>
            <w:gridSpan w:val="2"/>
            <w:tcBorders>
              <w:bottom w:val="single" w:sz="4" w:space="0" w:color="auto"/>
            </w:tcBorders>
            <w:vAlign w:val="center"/>
          </w:tcPr>
          <w:p w14:paraId="249606B9" w14:textId="77777777" w:rsidR="00982915" w:rsidRDefault="00EB6F73">
            <w:pPr>
              <w:tabs>
                <w:tab w:val="left" w:pos="426"/>
              </w:tabs>
              <w:rPr>
                <w:rFonts w:ascii="Arial" w:hAnsi="Arial" w:cs="Arial"/>
                <w:sz w:val="18"/>
                <w:szCs w:val="18"/>
              </w:rPr>
            </w:pPr>
            <w:r>
              <w:rPr>
                <w:rFonts w:ascii="Arial" w:hAnsi="Arial" w:cs="Arial"/>
                <w:sz w:val="18"/>
                <w:szCs w:val="18"/>
              </w:rPr>
              <w:t xml:space="preserve">Segment income (loss) </w:t>
            </w:r>
          </w:p>
        </w:tc>
        <w:tc>
          <w:tcPr>
            <w:tcW w:w="1001" w:type="dxa"/>
            <w:tcBorders>
              <w:bottom w:val="single" w:sz="4" w:space="0" w:color="auto"/>
            </w:tcBorders>
            <w:vAlign w:val="center"/>
          </w:tcPr>
          <w:p w14:paraId="2A8CB98E" w14:textId="5DA2AD04" w:rsidR="00982915" w:rsidRDefault="00982915">
            <w:pPr>
              <w:tabs>
                <w:tab w:val="left" w:pos="426"/>
              </w:tabs>
              <w:jc w:val="right"/>
              <w:rPr>
                <w:rFonts w:ascii="Arial" w:hAnsi="Arial" w:cs="Arial"/>
                <w:sz w:val="18"/>
                <w:szCs w:val="18"/>
              </w:rPr>
            </w:pPr>
          </w:p>
        </w:tc>
        <w:tc>
          <w:tcPr>
            <w:tcW w:w="1287" w:type="dxa"/>
            <w:tcBorders>
              <w:bottom w:val="single" w:sz="4" w:space="0" w:color="auto"/>
            </w:tcBorders>
            <w:vAlign w:val="center"/>
          </w:tcPr>
          <w:p w14:paraId="73B75376" w14:textId="6C463D18" w:rsidR="00982915" w:rsidRDefault="00982915">
            <w:pPr>
              <w:tabs>
                <w:tab w:val="left" w:pos="426"/>
              </w:tabs>
              <w:jc w:val="right"/>
              <w:rPr>
                <w:rFonts w:ascii="Arial" w:hAnsi="Arial" w:cs="Arial"/>
                <w:sz w:val="18"/>
                <w:szCs w:val="18"/>
              </w:rPr>
            </w:pPr>
          </w:p>
        </w:tc>
        <w:tc>
          <w:tcPr>
            <w:tcW w:w="1089" w:type="dxa"/>
            <w:tcBorders>
              <w:bottom w:val="single" w:sz="4" w:space="0" w:color="auto"/>
            </w:tcBorders>
            <w:vAlign w:val="center"/>
          </w:tcPr>
          <w:p w14:paraId="5B09DA60" w14:textId="0FC3F978" w:rsidR="00982915" w:rsidRDefault="00982915">
            <w:pPr>
              <w:tabs>
                <w:tab w:val="left" w:pos="426"/>
              </w:tabs>
              <w:jc w:val="right"/>
              <w:rPr>
                <w:rFonts w:ascii="Arial" w:hAnsi="Arial" w:cs="Arial"/>
                <w:sz w:val="18"/>
                <w:szCs w:val="18"/>
              </w:rPr>
            </w:pPr>
          </w:p>
        </w:tc>
        <w:tc>
          <w:tcPr>
            <w:tcW w:w="1190" w:type="dxa"/>
            <w:tcBorders>
              <w:bottom w:val="single" w:sz="4" w:space="0" w:color="auto"/>
            </w:tcBorders>
            <w:vAlign w:val="center"/>
          </w:tcPr>
          <w:p w14:paraId="240B8AE4" w14:textId="4EC251AB" w:rsidR="00982915" w:rsidRDefault="00982915">
            <w:pPr>
              <w:tabs>
                <w:tab w:val="left" w:pos="426"/>
              </w:tabs>
              <w:jc w:val="right"/>
              <w:rPr>
                <w:rFonts w:ascii="Arial" w:hAnsi="Arial" w:cs="Arial"/>
                <w:sz w:val="18"/>
                <w:szCs w:val="18"/>
              </w:rPr>
            </w:pPr>
          </w:p>
        </w:tc>
        <w:tc>
          <w:tcPr>
            <w:tcW w:w="1188" w:type="dxa"/>
            <w:tcBorders>
              <w:bottom w:val="single" w:sz="4" w:space="0" w:color="auto"/>
            </w:tcBorders>
            <w:vAlign w:val="center"/>
          </w:tcPr>
          <w:p w14:paraId="69DC0386" w14:textId="18C4BE39" w:rsidR="00982915" w:rsidRDefault="00982915">
            <w:pPr>
              <w:tabs>
                <w:tab w:val="left" w:pos="426"/>
              </w:tabs>
              <w:jc w:val="right"/>
              <w:rPr>
                <w:rFonts w:ascii="Arial" w:hAnsi="Arial" w:cs="Arial"/>
                <w:sz w:val="18"/>
                <w:szCs w:val="18"/>
              </w:rPr>
            </w:pPr>
          </w:p>
        </w:tc>
        <w:tc>
          <w:tcPr>
            <w:tcW w:w="1782" w:type="dxa"/>
            <w:tcBorders>
              <w:bottom w:val="single" w:sz="4" w:space="0" w:color="auto"/>
            </w:tcBorders>
            <w:vAlign w:val="center"/>
          </w:tcPr>
          <w:p w14:paraId="38801C73" w14:textId="6FBF4B9D" w:rsidR="00982915" w:rsidRDefault="00982915">
            <w:pPr>
              <w:tabs>
                <w:tab w:val="left" w:pos="426"/>
              </w:tabs>
              <w:jc w:val="right"/>
              <w:rPr>
                <w:rFonts w:ascii="Arial" w:hAnsi="Arial" w:cs="Arial"/>
                <w:sz w:val="18"/>
                <w:szCs w:val="18"/>
              </w:rPr>
            </w:pPr>
          </w:p>
        </w:tc>
      </w:tr>
    </w:tbl>
    <w:p w14:paraId="3DD1A5D8" w14:textId="77777777" w:rsidR="00982915" w:rsidRDefault="00EB6F73">
      <w:pPr>
        <w:tabs>
          <w:tab w:val="left" w:pos="426"/>
        </w:tabs>
        <w:spacing w:after="0" w:line="240" w:lineRule="auto"/>
        <w:jc w:val="both"/>
        <w:rPr>
          <w:rFonts w:ascii="Arial" w:hAnsi="Arial" w:cs="Arial"/>
          <w:sz w:val="18"/>
          <w:szCs w:val="20"/>
        </w:rPr>
      </w:pPr>
      <w:r>
        <w:rPr>
          <w:rFonts w:ascii="Arial" w:hAnsi="Arial" w:cs="Arial"/>
          <w:sz w:val="18"/>
          <w:szCs w:val="20"/>
        </w:rPr>
        <w:t xml:space="preserve"> (Note)</w:t>
      </w:r>
    </w:p>
    <w:p w14:paraId="2ED41D3F" w14:textId="16D36841" w:rsidR="00982915" w:rsidRDefault="00EB6F73">
      <w:pPr>
        <w:pStyle w:val="ListParagraph"/>
        <w:numPr>
          <w:ilvl w:val="0"/>
          <w:numId w:val="11"/>
        </w:numPr>
        <w:tabs>
          <w:tab w:val="left" w:pos="450"/>
        </w:tabs>
        <w:spacing w:after="0" w:line="240" w:lineRule="auto"/>
        <w:ind w:left="450"/>
        <w:jc w:val="both"/>
        <w:rPr>
          <w:rFonts w:ascii="Arial" w:hAnsi="Arial" w:cs="Arial"/>
          <w:sz w:val="18"/>
          <w:szCs w:val="20"/>
        </w:rPr>
      </w:pPr>
      <w:r>
        <w:rPr>
          <w:rFonts w:ascii="Arial" w:hAnsi="Arial" w:cs="Arial"/>
          <w:sz w:val="18"/>
          <w:szCs w:val="20"/>
        </w:rPr>
        <w:t>The adjustment amount for segment income (loss) is - ¥1</w:t>
      </w:r>
      <w:r w:rsidR="000741BD">
        <w:rPr>
          <w:rFonts w:ascii="Arial" w:hAnsi="Arial" w:cs="Arial"/>
          <w:sz w:val="18"/>
          <w:szCs w:val="20"/>
        </w:rPr>
        <w:t>23</w:t>
      </w:r>
      <w:r>
        <w:rPr>
          <w:rFonts w:ascii="Arial" w:hAnsi="Arial" w:cs="Arial"/>
          <w:sz w:val="18"/>
          <w:szCs w:val="20"/>
        </w:rPr>
        <w:t xml:space="preserve"> million not allocated to reporting segments due to the operations of indirect divisions of certain consolidated subsidiaries and headquarters of the Company and from ¥</w:t>
      </w:r>
      <w:r w:rsidR="000741BD">
        <w:rPr>
          <w:rFonts w:ascii="Arial" w:hAnsi="Arial" w:cs="Arial"/>
          <w:sz w:val="18"/>
          <w:szCs w:val="20"/>
        </w:rPr>
        <w:t>12</w:t>
      </w:r>
      <w:r>
        <w:rPr>
          <w:rFonts w:ascii="Arial" w:hAnsi="Arial" w:cs="Arial"/>
          <w:sz w:val="18"/>
          <w:szCs w:val="20"/>
        </w:rPr>
        <w:t xml:space="preserve"> million lost in trading between segments.</w:t>
      </w:r>
    </w:p>
    <w:p w14:paraId="1A72C232" w14:textId="77777777" w:rsidR="00982915" w:rsidRDefault="00EB6F73">
      <w:pPr>
        <w:pStyle w:val="ListParagraph"/>
        <w:numPr>
          <w:ilvl w:val="0"/>
          <w:numId w:val="11"/>
        </w:numPr>
        <w:tabs>
          <w:tab w:val="left" w:pos="450"/>
        </w:tabs>
        <w:spacing w:after="0" w:line="240" w:lineRule="auto"/>
        <w:ind w:left="450"/>
        <w:jc w:val="both"/>
        <w:rPr>
          <w:rFonts w:ascii="Arial" w:hAnsi="Arial" w:cs="Arial"/>
          <w:sz w:val="18"/>
          <w:szCs w:val="20"/>
        </w:rPr>
      </w:pPr>
      <w:r>
        <w:rPr>
          <w:rFonts w:ascii="Arial" w:hAnsi="Arial" w:cs="Arial"/>
          <w:sz w:val="18"/>
          <w:szCs w:val="20"/>
        </w:rPr>
        <w:t>Segment income coincides with operating income (loss), as recorded in consolidated quarterly income statements.</w:t>
      </w:r>
    </w:p>
    <w:p w14:paraId="3F90B681" w14:textId="77777777" w:rsidR="00982915" w:rsidRDefault="00EB6F73">
      <w:pPr>
        <w:pStyle w:val="ListParagraph"/>
        <w:numPr>
          <w:ilvl w:val="0"/>
          <w:numId w:val="11"/>
        </w:numPr>
        <w:tabs>
          <w:tab w:val="left" w:pos="450"/>
        </w:tabs>
        <w:spacing w:after="0" w:line="240" w:lineRule="auto"/>
        <w:ind w:left="450"/>
        <w:jc w:val="both"/>
        <w:rPr>
          <w:rFonts w:ascii="Arial" w:hAnsi="Arial" w:cs="Arial"/>
          <w:sz w:val="18"/>
          <w:szCs w:val="20"/>
        </w:rPr>
      </w:pPr>
      <w:r>
        <w:rPr>
          <w:rFonts w:ascii="Arial" w:hAnsi="Arial" w:cs="Arial"/>
          <w:sz w:val="18"/>
          <w:szCs w:val="20"/>
        </w:rPr>
        <w:t>As noted in the “changes in accounting principles,” the Company has adopted the “Practical Solution on Transactions of Delivering the Company’s Own Stock to Employees etc. through Trusts.”</w:t>
      </w:r>
    </w:p>
    <w:sectPr w:rsidR="00982915">
      <w:headerReference w:type="default" r:id="rId8"/>
      <w:footerReference w:type="default" r:id="rId9"/>
      <w:headerReference w:type="first" r:id="rId10"/>
      <w:pgSz w:w="12240" w:h="15840"/>
      <w:pgMar w:top="1134" w:right="981" w:bottom="1134" w:left="98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D3256" w14:textId="77777777" w:rsidR="00EE6371" w:rsidRDefault="00EE6371">
      <w:pPr>
        <w:spacing w:after="0" w:line="240" w:lineRule="auto"/>
      </w:pPr>
      <w:r>
        <w:separator/>
      </w:r>
    </w:p>
  </w:endnote>
  <w:endnote w:type="continuationSeparator" w:id="0">
    <w:p w14:paraId="3B70057A" w14:textId="77777777" w:rsidR="00EE6371" w:rsidRDefault="00EE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928169"/>
      <w:docPartObj>
        <w:docPartGallery w:val="Page Numbers (Bottom of Page)"/>
        <w:docPartUnique/>
      </w:docPartObj>
    </w:sdtPr>
    <w:sdtEndPr>
      <w:rPr>
        <w:sz w:val="18"/>
      </w:rPr>
    </w:sdtEndPr>
    <w:sdtContent>
      <w:p w14:paraId="2E3A2D43" w14:textId="77777777" w:rsidR="00491326" w:rsidRDefault="00491326">
        <w:pPr>
          <w:pStyle w:val="Footer"/>
          <w:jc w:val="center"/>
          <w:rPr>
            <w:sz w:val="18"/>
          </w:rPr>
        </w:pPr>
        <w:r>
          <w:rPr>
            <w:sz w:val="18"/>
          </w:rPr>
          <w:fldChar w:fldCharType="begin"/>
        </w:r>
        <w:r>
          <w:rPr>
            <w:sz w:val="18"/>
          </w:rPr>
          <w:instrText>PAGE   \* MERGEFORMAT</w:instrText>
        </w:r>
        <w:r>
          <w:rPr>
            <w:sz w:val="18"/>
          </w:rPr>
          <w:fldChar w:fldCharType="separate"/>
        </w:r>
        <w:r>
          <w:rPr>
            <w:noProof/>
            <w:sz w:val="18"/>
            <w:lang w:val="ja-JP"/>
          </w:rPr>
          <w:t>4</w:t>
        </w:r>
        <w:r>
          <w:rPr>
            <w:sz w:val="18"/>
          </w:rPr>
          <w:fldChar w:fldCharType="end"/>
        </w:r>
      </w:p>
    </w:sdtContent>
  </w:sdt>
  <w:p w14:paraId="08E7310B" w14:textId="77777777" w:rsidR="00491326" w:rsidRDefault="00491326">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6933F" w14:textId="77777777" w:rsidR="00EE6371" w:rsidRDefault="00EE6371">
      <w:pPr>
        <w:spacing w:after="0" w:line="240" w:lineRule="auto"/>
      </w:pPr>
      <w:r>
        <w:separator/>
      </w:r>
    </w:p>
  </w:footnote>
  <w:footnote w:type="continuationSeparator" w:id="0">
    <w:p w14:paraId="1E27C847" w14:textId="77777777" w:rsidR="00EE6371" w:rsidRDefault="00EE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3490" w14:textId="66EC3F3D" w:rsidR="00491326" w:rsidRDefault="00553F8E">
    <w:pPr>
      <w:pStyle w:val="Header"/>
      <w:jc w:val="right"/>
      <w:rPr>
        <w:rFonts w:ascii="Arial" w:hAnsi="Arial" w:cs="Arial"/>
        <w:sz w:val="16"/>
        <w:szCs w:val="18"/>
      </w:rPr>
    </w:pPr>
    <w:sdt>
      <w:sdtPr>
        <w:rPr>
          <w:rFonts w:ascii="Arial" w:hAnsi="Arial" w:cs="Arial"/>
          <w:sz w:val="16"/>
          <w:szCs w:val="18"/>
        </w:rPr>
        <w:id w:val="-1072344951"/>
        <w:docPartObj>
          <w:docPartGallery w:val="Watermarks"/>
          <w:docPartUnique/>
        </w:docPartObj>
      </w:sdtPr>
      <w:sdtContent>
        <w:r w:rsidRPr="00553F8E">
          <w:rPr>
            <w:rFonts w:ascii="Arial" w:hAnsi="Arial" w:cs="Arial"/>
            <w:noProof/>
            <w:sz w:val="16"/>
            <w:szCs w:val="18"/>
          </w:rPr>
          <w:pict w14:anchorId="5267B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0861" o:spid="_x0000_s2049" type="#_x0000_t136" style="position:absolute;left:0;text-align:left;margin-left:0;margin-top:0;width:517.5pt;height:207pt;rotation:315;z-index:-251657216;mso-position-horizontal:center;mso-position-horizontal-relative:margin;mso-position-vertical:center;mso-position-vertical-relative:margin" o:allowincell="f" fillcolor="#ff8fe2" stroked="f">
              <v:fill opacity=".5"/>
              <v:textpath style="font-family:&quot;Calibri&quot;;font-size:1pt" string="SAMPLE"/>
              <w10:wrap anchorx="margin" anchory="margin"/>
            </v:shape>
          </w:pict>
        </w:r>
      </w:sdtContent>
    </w:sdt>
    <w:r w:rsidR="00324087">
      <w:rPr>
        <w:rFonts w:ascii="Arial" w:hAnsi="Arial" w:cs="Arial"/>
        <w:sz w:val="16"/>
        <w:szCs w:val="18"/>
      </w:rPr>
      <w:t>XYZ</w:t>
    </w:r>
    <w:r w:rsidR="00491326">
      <w:rPr>
        <w:rFonts w:ascii="Arial" w:hAnsi="Arial" w:cs="Arial"/>
        <w:sz w:val="16"/>
        <w:szCs w:val="18"/>
      </w:rPr>
      <w:t xml:space="preserve"> Holdings Inc. (</w:t>
    </w:r>
    <w:r w:rsidR="00324087">
      <w:rPr>
        <w:rFonts w:ascii="Arial" w:hAnsi="Arial" w:cs="Arial"/>
        <w:sz w:val="16"/>
        <w:szCs w:val="18"/>
      </w:rPr>
      <w:t>1234</w:t>
    </w:r>
    <w:r w:rsidR="00491326">
      <w:rPr>
        <w:rFonts w:ascii="Arial" w:hAnsi="Arial" w:cs="Arial"/>
        <w:sz w:val="16"/>
        <w:szCs w:val="18"/>
      </w:rPr>
      <w:t xml:space="preserve">) Financial Statements and Results for the 3Q of FY2015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57E7" w14:textId="5D86C4E2" w:rsidR="00553F8E" w:rsidRPr="00553F8E" w:rsidRDefault="00553F8E" w:rsidP="00553F8E">
    <w:pPr>
      <w:pStyle w:val="Header"/>
      <w:jc w:val="center"/>
      <w:rPr>
        <w:rFonts w:hint="eastAsia"/>
        <w:b/>
        <w:bCs/>
        <w:color w:val="0000CC"/>
      </w:rPr>
    </w:pPr>
    <w:r w:rsidRPr="00553F8E">
      <w:rPr>
        <w:rFonts w:hint="eastAsia"/>
        <w:b/>
        <w:bCs/>
        <w:color w:val="0000CC"/>
      </w:rPr>
      <w:t>決算短信の英訳（サンプル）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241"/>
    <w:multiLevelType w:val="hybridMultilevel"/>
    <w:tmpl w:val="B6A6B1BA"/>
    <w:lvl w:ilvl="0" w:tplc="0C36F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7EA3"/>
    <w:multiLevelType w:val="hybridMultilevel"/>
    <w:tmpl w:val="1054A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E4E3E"/>
    <w:multiLevelType w:val="hybridMultilevel"/>
    <w:tmpl w:val="0ABE8F2C"/>
    <w:lvl w:ilvl="0" w:tplc="4A3C5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13C4"/>
    <w:multiLevelType w:val="hybridMultilevel"/>
    <w:tmpl w:val="13D08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D23C1"/>
    <w:multiLevelType w:val="hybridMultilevel"/>
    <w:tmpl w:val="34B68198"/>
    <w:lvl w:ilvl="0" w:tplc="B59ED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97EFE"/>
    <w:multiLevelType w:val="hybridMultilevel"/>
    <w:tmpl w:val="96DE6C0C"/>
    <w:lvl w:ilvl="0" w:tplc="7B98E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25C5A"/>
    <w:multiLevelType w:val="hybridMultilevel"/>
    <w:tmpl w:val="496AB8E2"/>
    <w:lvl w:ilvl="0" w:tplc="C8449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A780F"/>
    <w:multiLevelType w:val="hybridMultilevel"/>
    <w:tmpl w:val="2466A554"/>
    <w:lvl w:ilvl="0" w:tplc="A4549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04D7B"/>
    <w:multiLevelType w:val="hybridMultilevel"/>
    <w:tmpl w:val="09C4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57BE9"/>
    <w:multiLevelType w:val="hybridMultilevel"/>
    <w:tmpl w:val="E368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26D3E"/>
    <w:multiLevelType w:val="hybridMultilevel"/>
    <w:tmpl w:val="A178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5"/>
  </w:num>
  <w:num w:numId="6">
    <w:abstractNumId w:val="3"/>
  </w:num>
  <w:num w:numId="7">
    <w:abstractNumId w:val="7"/>
  </w:num>
  <w:num w:numId="8">
    <w:abstractNumId w:val="6"/>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915"/>
    <w:rsid w:val="000741BD"/>
    <w:rsid w:val="002B4C0C"/>
    <w:rsid w:val="00324087"/>
    <w:rsid w:val="00491326"/>
    <w:rsid w:val="00553F8E"/>
    <w:rsid w:val="00740E39"/>
    <w:rsid w:val="0083339E"/>
    <w:rsid w:val="00982915"/>
    <w:rsid w:val="00EB6F73"/>
    <w:rsid w:val="00EE63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9B2797A"/>
  <w15:docId w15:val="{B8BDF804-5661-42DC-BC9E-71F3CA5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Pr>
      <w:rFonts w:ascii="Tahoma" w:hAnsi="Tahoma" w:cs="Angsana New"/>
      <w:sz w:val="16"/>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5"/>
    </w:rPr>
  </w:style>
  <w:style w:type="character" w:customStyle="1" w:styleId="CommentTextChar">
    <w:name w:val="Comment Text Char"/>
    <w:basedOn w:val="DefaultParagraphFont"/>
    <w:link w:val="CommentText"/>
    <w:uiPriority w:val="99"/>
    <w:semiHidden/>
    <w:rPr>
      <w:sz w:val="20"/>
      <w:szCs w:val="25"/>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808910">
      <w:bodyDiv w:val="1"/>
      <w:marLeft w:val="0"/>
      <w:marRight w:val="0"/>
      <w:marTop w:val="0"/>
      <w:marBottom w:val="0"/>
      <w:divBdr>
        <w:top w:val="none" w:sz="0" w:space="0" w:color="auto"/>
        <w:left w:val="none" w:sz="0" w:space="0" w:color="auto"/>
        <w:bottom w:val="none" w:sz="0" w:space="0" w:color="auto"/>
        <w:right w:val="none" w:sz="0" w:space="0" w:color="auto"/>
      </w:divBdr>
    </w:div>
    <w:div w:id="950862016">
      <w:bodyDiv w:val="1"/>
      <w:marLeft w:val="0"/>
      <w:marRight w:val="0"/>
      <w:marTop w:val="0"/>
      <w:marBottom w:val="0"/>
      <w:divBdr>
        <w:top w:val="none" w:sz="0" w:space="0" w:color="auto"/>
        <w:left w:val="none" w:sz="0" w:space="0" w:color="auto"/>
        <w:bottom w:val="none" w:sz="0" w:space="0" w:color="auto"/>
        <w:right w:val="none" w:sz="0" w:space="0" w:color="auto"/>
      </w:divBdr>
    </w:div>
    <w:div w:id="1233738119">
      <w:bodyDiv w:val="1"/>
      <w:marLeft w:val="0"/>
      <w:marRight w:val="0"/>
      <w:marTop w:val="0"/>
      <w:marBottom w:val="0"/>
      <w:divBdr>
        <w:top w:val="none" w:sz="0" w:space="0" w:color="auto"/>
        <w:left w:val="none" w:sz="0" w:space="0" w:color="auto"/>
        <w:bottom w:val="none" w:sz="0" w:space="0" w:color="auto"/>
        <w:right w:val="none" w:sz="0" w:space="0" w:color="auto"/>
      </w:divBdr>
    </w:div>
    <w:div w:id="1312903919">
      <w:bodyDiv w:val="1"/>
      <w:marLeft w:val="0"/>
      <w:marRight w:val="0"/>
      <w:marTop w:val="0"/>
      <w:marBottom w:val="0"/>
      <w:divBdr>
        <w:top w:val="none" w:sz="0" w:space="0" w:color="auto"/>
        <w:left w:val="none" w:sz="0" w:space="0" w:color="auto"/>
        <w:bottom w:val="none" w:sz="0" w:space="0" w:color="auto"/>
        <w:right w:val="none" w:sz="0" w:space="0" w:color="auto"/>
      </w:divBdr>
    </w:div>
    <w:div w:id="15678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F24B-1A81-4A2E-92D0-130E8A5F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3907</Words>
  <Characters>22271</Characters>
  <Application>Microsoft Office Word</Application>
  <DocSecurity>0</DocSecurity>
  <Lines>185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DLA Piper</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c:creator>
  <cp:lastModifiedBy>Mitsuru Nishiuwatoko</cp:lastModifiedBy>
  <cp:revision>4</cp:revision>
  <cp:lastPrinted>2015-11-18T09:45:00Z</cp:lastPrinted>
  <dcterms:created xsi:type="dcterms:W3CDTF">2020-08-24T07:43:00Z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235dd3fe-d276-49c1-8dcf-8e52a3a57230</vt:lpwstr>
  </property>
</Properties>
</file>